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6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3"/>
      </w:tblGrid>
      <w:tr w:rsidR="00CE5561" w:rsidRPr="00730933" w14:paraId="6F5FE17A" w14:textId="77777777" w:rsidTr="00F55A32">
        <w:trPr>
          <w:trHeight w:val="727"/>
        </w:trPr>
        <w:tc>
          <w:tcPr>
            <w:tcW w:w="5000" w:type="pct"/>
            <w:shd w:val="clear" w:color="auto" w:fill="B3B3B3"/>
          </w:tcPr>
          <w:p w14:paraId="7AFA4CC3" w14:textId="5DDC640A" w:rsidR="00CE5561" w:rsidRPr="00A81347" w:rsidRDefault="00CE5561" w:rsidP="00CE5561">
            <w:pPr>
              <w:pStyle w:val="HeadingTitle"/>
              <w:rPr>
                <w:rStyle w:val="NormalBoldChar"/>
                <w:sz w:val="44"/>
                <w:szCs w:val="44"/>
              </w:rPr>
            </w:pPr>
            <w:r w:rsidRPr="00A81347">
              <w:rPr>
                <w:rFonts w:ascii="Arial" w:hAnsi="Arial" w:cs="Arial"/>
                <w:bCs/>
                <w:kern w:val="32"/>
                <w:sz w:val="44"/>
                <w:szCs w:val="44"/>
              </w:rPr>
              <w:t xml:space="preserve">STANDARD OPERATING </w:t>
            </w:r>
            <w:r>
              <w:rPr>
                <w:rFonts w:ascii="Arial" w:hAnsi="Arial" w:cs="Arial"/>
                <w:bCs/>
                <w:kern w:val="32"/>
                <w:sz w:val="44"/>
                <w:szCs w:val="44"/>
              </w:rPr>
              <w:t>PROCEDURES FOR SAMPLED-BASED AREA ESTIMATION</w:t>
            </w:r>
          </w:p>
        </w:tc>
      </w:tr>
      <w:tr w:rsidR="00CE5561" w:rsidRPr="00730933" w14:paraId="09070B07" w14:textId="77777777" w:rsidTr="00F55A32">
        <w:trPr>
          <w:trHeight w:val="727"/>
        </w:trPr>
        <w:tc>
          <w:tcPr>
            <w:tcW w:w="5000" w:type="pct"/>
            <w:shd w:val="clear" w:color="auto" w:fill="B3B3B3"/>
          </w:tcPr>
          <w:p w14:paraId="0F53483D" w14:textId="153023B5" w:rsidR="00CE5561" w:rsidRPr="000E62B7" w:rsidRDefault="00CE5561" w:rsidP="00CE5561">
            <w:pPr>
              <w:pStyle w:val="NormalCentered"/>
              <w:jc w:val="left"/>
            </w:pPr>
            <w:r w:rsidRPr="000C5E50">
              <w:rPr>
                <w:rStyle w:val="NormalBoldChar"/>
              </w:rPr>
              <w:t>Purpose:</w:t>
            </w:r>
            <w:r w:rsidRPr="000C5E50">
              <w:t xml:space="preserve">  Th</w:t>
            </w:r>
            <w:r>
              <w:t>e</w:t>
            </w:r>
            <w:r w:rsidRPr="000C5E50">
              <w:t>s</w:t>
            </w:r>
            <w:r>
              <w:t>e</w:t>
            </w:r>
            <w:r w:rsidRPr="000C5E50">
              <w:t xml:space="preserve"> </w:t>
            </w:r>
            <w:r>
              <w:t xml:space="preserve">Standard </w:t>
            </w:r>
            <w:r w:rsidRPr="000C5E50">
              <w:t>Operati</w:t>
            </w:r>
            <w:r>
              <w:t>ng</w:t>
            </w:r>
            <w:r w:rsidRPr="000C5E50">
              <w:t xml:space="preserve"> Procedure</w:t>
            </w:r>
            <w:r>
              <w:t xml:space="preserve">s (SPO) Notes </w:t>
            </w:r>
            <w:r w:rsidRPr="000C5E50">
              <w:t>acts as</w:t>
            </w:r>
            <w:r>
              <w:t xml:space="preserve"> a set of</w:t>
            </w:r>
            <w:r w:rsidRPr="000C5E50">
              <w:t xml:space="preserve"> </w:t>
            </w:r>
            <w:r>
              <w:t xml:space="preserve">general Cheat-sheets, which in conjunction with a more general posterior white paper, aim to be </w:t>
            </w:r>
            <w:r w:rsidRPr="000C5E50">
              <w:t xml:space="preserve">the main support </w:t>
            </w:r>
            <w:r>
              <w:t xml:space="preserve">backbone </w:t>
            </w:r>
            <w:r w:rsidRPr="000C5E50">
              <w:t>document</w:t>
            </w:r>
            <w:r>
              <w:t>s</w:t>
            </w:r>
            <w:r w:rsidRPr="000C5E50">
              <w:t xml:space="preserve"> for</w:t>
            </w:r>
            <w:r>
              <w:t xml:space="preserve"> national </w:t>
            </w:r>
            <w:r w:rsidRPr="000C5E50">
              <w:t>staff</w:t>
            </w:r>
            <w:r>
              <w:t xml:space="preserve"> working in area reporting for REDD+</w:t>
            </w:r>
            <w:r w:rsidRPr="000C5E50">
              <w:t>.  The</w:t>
            </w:r>
            <w:r>
              <w:t xml:space="preserve"> SPO will be modified to fit the particular protocols of each country</w:t>
            </w:r>
            <w:r w:rsidRPr="000C5E50">
              <w:t xml:space="preserve"> </w:t>
            </w:r>
            <w:r>
              <w:t>and ensure</w:t>
            </w:r>
            <w:r w:rsidRPr="000C5E50">
              <w:t xml:space="preserve"> that </w:t>
            </w:r>
            <w:r>
              <w:t>they are</w:t>
            </w:r>
            <w:r w:rsidRPr="000C5E50">
              <w:t xml:space="preserve"> repeatable.</w:t>
            </w:r>
          </w:p>
        </w:tc>
      </w:tr>
      <w:tr w:rsidR="00CE5561" w:rsidRPr="00730933" w14:paraId="6D0F3717" w14:textId="77777777" w:rsidTr="00F55A32">
        <w:trPr>
          <w:trHeight w:val="432"/>
        </w:trPr>
        <w:tc>
          <w:tcPr>
            <w:tcW w:w="5000" w:type="pct"/>
            <w:tcBorders>
              <w:bottom w:val="single" w:sz="4" w:space="0" w:color="auto"/>
            </w:tcBorders>
            <w:shd w:val="clear" w:color="auto" w:fill="B3B3B3"/>
          </w:tcPr>
          <w:p w14:paraId="48090056" w14:textId="77777777" w:rsidR="00CE5561" w:rsidRPr="00BA623E" w:rsidRDefault="00CE5561" w:rsidP="00CE5561">
            <w:pPr>
              <w:pStyle w:val="NormalBoldCenter"/>
            </w:pPr>
            <w:r w:rsidRPr="00AA7546">
              <w:rPr>
                <w:rFonts w:ascii="Arial Bold" w:hAnsi="Arial Bold" w:cs="Arial"/>
                <w:bCs/>
                <w:iCs/>
                <w:smallCaps/>
                <w:sz w:val="36"/>
                <w:szCs w:val="28"/>
              </w:rPr>
              <w:t>Important Notes for Completing this</w:t>
            </w:r>
            <w:r w:rsidRPr="00BA623E">
              <w:t xml:space="preserve"> </w:t>
            </w:r>
            <w:r w:rsidRPr="00AA7546">
              <w:rPr>
                <w:rFonts w:ascii="Arial Bold" w:hAnsi="Arial Bold" w:cs="Arial"/>
                <w:bCs/>
                <w:iCs/>
                <w:smallCaps/>
                <w:sz w:val="36"/>
                <w:szCs w:val="28"/>
              </w:rPr>
              <w:t>Document</w:t>
            </w:r>
          </w:p>
          <w:p w14:paraId="1C5EC061" w14:textId="77777777" w:rsidR="00CE5561" w:rsidRDefault="00CE5561" w:rsidP="00CE5561">
            <w:pPr>
              <w:spacing w:after="0"/>
            </w:pPr>
            <w:r w:rsidRPr="00BA623E">
              <w:t>Under most headings in this template are instructions for completing each section; they are marked in this way: &lt;</w:t>
            </w:r>
            <w:r>
              <w:t>&lt;</w:t>
            </w:r>
            <w:r w:rsidRPr="00BA623E">
              <w:t xml:space="preserve"> instructions for completing the section </w:t>
            </w:r>
            <w:r>
              <w:t>&gt;</w:t>
            </w:r>
            <w:r w:rsidRPr="00BA623E">
              <w:t>&gt;.  Please read through the instructions for details on minimum requirements.</w:t>
            </w:r>
          </w:p>
          <w:p w14:paraId="7A071A9B" w14:textId="77777777" w:rsidR="00CE5561" w:rsidRPr="00F55A32" w:rsidRDefault="00CE5561" w:rsidP="00CE5561">
            <w:pPr>
              <w:spacing w:after="0"/>
              <w:rPr>
                <w:sz w:val="2"/>
              </w:rPr>
            </w:pPr>
          </w:p>
          <w:p w14:paraId="7D94B68C" w14:textId="77777777" w:rsidR="00CE5561" w:rsidRDefault="00CE5561" w:rsidP="00CE5561">
            <w:pPr>
              <w:pStyle w:val="NormalBold"/>
              <w:spacing w:after="0"/>
              <w:rPr>
                <w:b w:val="0"/>
              </w:rPr>
            </w:pPr>
            <w:r>
              <w:t xml:space="preserve">Important note: </w:t>
            </w:r>
            <w:r w:rsidRPr="00A61874">
              <w:rPr>
                <w:b w:val="0"/>
              </w:rPr>
              <w:t>No sections are to be deleted from this document.</w:t>
            </w:r>
          </w:p>
          <w:p w14:paraId="4D2C1E02" w14:textId="77777777" w:rsidR="00CE5561" w:rsidRPr="00F55A32" w:rsidRDefault="00CE5561" w:rsidP="00CE5561">
            <w:pPr>
              <w:pStyle w:val="NormalBold"/>
              <w:spacing w:after="0"/>
              <w:rPr>
                <w:b w:val="0"/>
                <w:sz w:val="2"/>
              </w:rPr>
            </w:pPr>
          </w:p>
          <w:p w14:paraId="30880406" w14:textId="77777777" w:rsidR="00CE5561" w:rsidRPr="000E62B7" w:rsidRDefault="00CE5561" w:rsidP="00CE5561">
            <w:pPr>
              <w:spacing w:after="0"/>
            </w:pPr>
            <w:r w:rsidRPr="00BA623E">
              <w:t>Text contained within &lt;&lt; &gt;&gt; provides information on how to complete that section and can be deleted once the section has been completed.</w:t>
            </w:r>
          </w:p>
        </w:tc>
      </w:tr>
    </w:tbl>
    <w:p w14:paraId="7BC1502F" w14:textId="77777777" w:rsidR="000E62B7" w:rsidRDefault="000E62B7" w:rsidP="00BA623E">
      <w:pPr>
        <w:pStyle w:val="TOC"/>
      </w:pPr>
      <w:r>
        <w:br w:type="page"/>
      </w:r>
      <w:r w:rsidRPr="00570411">
        <w:lastRenderedPageBreak/>
        <w:t>Table of Contents</w:t>
      </w:r>
      <w:r>
        <w:t xml:space="preserve"> </w:t>
      </w:r>
    </w:p>
    <w:p w14:paraId="467449F3" w14:textId="713EEEAF" w:rsidR="00BA739E" w:rsidRDefault="0063046A">
      <w:pPr>
        <w:pStyle w:val="TOC1"/>
        <w:rPr>
          <w:rFonts w:asciiTheme="minorHAnsi" w:eastAsiaTheme="minorEastAsia" w:hAnsiTheme="minorHAnsi" w:cstheme="minorBidi"/>
          <w:b w:val="0"/>
          <w:caps w:val="0"/>
          <w:noProof/>
          <w:sz w:val="22"/>
          <w:szCs w:val="22"/>
          <w:lang w:val="en-US"/>
        </w:rPr>
      </w:pPr>
      <w:r>
        <w:fldChar w:fldCharType="begin"/>
      </w:r>
      <w:r>
        <w:instrText xml:space="preserve"> TOC \o "1-3" \h \z \u </w:instrText>
      </w:r>
      <w:r>
        <w:fldChar w:fldCharType="separate"/>
      </w:r>
      <w:hyperlink w:anchor="_Toc31088431" w:history="1">
        <w:r w:rsidR="00BA739E" w:rsidRPr="006C4519">
          <w:rPr>
            <w:rStyle w:val="Hyperlink"/>
            <w:noProof/>
          </w:rPr>
          <w:t>Standard Operating Procedure 4 (Sop4): Sample-Based Area Estimation Analysis</w:t>
        </w:r>
        <w:r w:rsidR="00BA739E">
          <w:rPr>
            <w:noProof/>
            <w:webHidden/>
          </w:rPr>
          <w:tab/>
        </w:r>
        <w:r w:rsidR="00BA739E">
          <w:rPr>
            <w:noProof/>
            <w:webHidden/>
          </w:rPr>
          <w:fldChar w:fldCharType="begin"/>
        </w:r>
        <w:r w:rsidR="00BA739E">
          <w:rPr>
            <w:noProof/>
            <w:webHidden/>
          </w:rPr>
          <w:instrText xml:space="preserve"> PAGEREF _Toc31088431 \h </w:instrText>
        </w:r>
        <w:r w:rsidR="00BA739E">
          <w:rPr>
            <w:noProof/>
            <w:webHidden/>
          </w:rPr>
        </w:r>
        <w:r w:rsidR="00BA739E">
          <w:rPr>
            <w:noProof/>
            <w:webHidden/>
          </w:rPr>
          <w:fldChar w:fldCharType="separate"/>
        </w:r>
        <w:r w:rsidR="00BA739E">
          <w:rPr>
            <w:noProof/>
            <w:webHidden/>
          </w:rPr>
          <w:t>3</w:t>
        </w:r>
        <w:r w:rsidR="00BA739E">
          <w:rPr>
            <w:noProof/>
            <w:webHidden/>
          </w:rPr>
          <w:fldChar w:fldCharType="end"/>
        </w:r>
      </w:hyperlink>
    </w:p>
    <w:p w14:paraId="7645DC12" w14:textId="28BF5DFD" w:rsidR="00BA739E" w:rsidRDefault="006C409F">
      <w:pPr>
        <w:pStyle w:val="TOC2"/>
        <w:tabs>
          <w:tab w:val="right" w:leader="dot" w:pos="9926"/>
        </w:tabs>
        <w:rPr>
          <w:rFonts w:asciiTheme="minorHAnsi" w:eastAsiaTheme="minorEastAsia" w:hAnsiTheme="minorHAnsi" w:cstheme="minorBidi"/>
          <w:smallCaps w:val="0"/>
          <w:noProof/>
          <w:sz w:val="22"/>
          <w:szCs w:val="22"/>
          <w:lang w:val="en-US"/>
        </w:rPr>
      </w:pPr>
      <w:hyperlink w:anchor="_Toc31088432" w:history="1">
        <w:r w:rsidR="00BA739E" w:rsidRPr="006C4519">
          <w:rPr>
            <w:rStyle w:val="Hyperlink"/>
            <w:noProof/>
          </w:rPr>
          <w:t>Section 1 Overview</w:t>
        </w:r>
        <w:r w:rsidR="00BA739E">
          <w:rPr>
            <w:noProof/>
            <w:webHidden/>
          </w:rPr>
          <w:tab/>
        </w:r>
        <w:r w:rsidR="00BA739E">
          <w:rPr>
            <w:noProof/>
            <w:webHidden/>
          </w:rPr>
          <w:fldChar w:fldCharType="begin"/>
        </w:r>
        <w:r w:rsidR="00BA739E">
          <w:rPr>
            <w:noProof/>
            <w:webHidden/>
          </w:rPr>
          <w:instrText xml:space="preserve"> PAGEREF _Toc31088432 \h </w:instrText>
        </w:r>
        <w:r w:rsidR="00BA739E">
          <w:rPr>
            <w:noProof/>
            <w:webHidden/>
          </w:rPr>
        </w:r>
        <w:r w:rsidR="00BA739E">
          <w:rPr>
            <w:noProof/>
            <w:webHidden/>
          </w:rPr>
          <w:fldChar w:fldCharType="separate"/>
        </w:r>
        <w:r w:rsidR="00BA739E">
          <w:rPr>
            <w:noProof/>
            <w:webHidden/>
          </w:rPr>
          <w:t>3</w:t>
        </w:r>
        <w:r w:rsidR="00BA739E">
          <w:rPr>
            <w:noProof/>
            <w:webHidden/>
          </w:rPr>
          <w:fldChar w:fldCharType="end"/>
        </w:r>
      </w:hyperlink>
    </w:p>
    <w:p w14:paraId="711894D9" w14:textId="244B3D23" w:rsidR="00BA739E" w:rsidRDefault="006C409F">
      <w:pPr>
        <w:pStyle w:val="TOC2"/>
        <w:tabs>
          <w:tab w:val="right" w:leader="dot" w:pos="9926"/>
        </w:tabs>
        <w:rPr>
          <w:rFonts w:asciiTheme="minorHAnsi" w:eastAsiaTheme="minorEastAsia" w:hAnsiTheme="minorHAnsi" w:cstheme="minorBidi"/>
          <w:smallCaps w:val="0"/>
          <w:noProof/>
          <w:sz w:val="22"/>
          <w:szCs w:val="22"/>
          <w:lang w:val="en-US"/>
        </w:rPr>
      </w:pPr>
      <w:hyperlink w:anchor="_Toc31088433" w:history="1">
        <w:r w:rsidR="00BA739E" w:rsidRPr="006C4519">
          <w:rPr>
            <w:rStyle w:val="Hyperlink"/>
            <w:noProof/>
          </w:rPr>
          <w:t>Section 2 Procedure</w:t>
        </w:r>
        <w:r w:rsidR="00BA739E">
          <w:rPr>
            <w:noProof/>
            <w:webHidden/>
          </w:rPr>
          <w:tab/>
        </w:r>
        <w:r w:rsidR="00BA739E">
          <w:rPr>
            <w:noProof/>
            <w:webHidden/>
          </w:rPr>
          <w:fldChar w:fldCharType="begin"/>
        </w:r>
        <w:r w:rsidR="00BA739E">
          <w:rPr>
            <w:noProof/>
            <w:webHidden/>
          </w:rPr>
          <w:instrText xml:space="preserve"> PAGEREF _Toc31088433 \h </w:instrText>
        </w:r>
        <w:r w:rsidR="00BA739E">
          <w:rPr>
            <w:noProof/>
            <w:webHidden/>
          </w:rPr>
        </w:r>
        <w:r w:rsidR="00BA739E">
          <w:rPr>
            <w:noProof/>
            <w:webHidden/>
          </w:rPr>
          <w:fldChar w:fldCharType="separate"/>
        </w:r>
        <w:r w:rsidR="00BA739E">
          <w:rPr>
            <w:noProof/>
            <w:webHidden/>
          </w:rPr>
          <w:t>3</w:t>
        </w:r>
        <w:r w:rsidR="00BA739E">
          <w:rPr>
            <w:noProof/>
            <w:webHidden/>
          </w:rPr>
          <w:fldChar w:fldCharType="end"/>
        </w:r>
      </w:hyperlink>
    </w:p>
    <w:p w14:paraId="571341D7" w14:textId="18E5BB45" w:rsidR="00BA739E" w:rsidRDefault="006C409F">
      <w:pPr>
        <w:pStyle w:val="TOC2"/>
        <w:tabs>
          <w:tab w:val="right" w:leader="dot" w:pos="9926"/>
        </w:tabs>
        <w:rPr>
          <w:rFonts w:asciiTheme="minorHAnsi" w:eastAsiaTheme="minorEastAsia" w:hAnsiTheme="minorHAnsi" w:cstheme="minorBidi"/>
          <w:smallCaps w:val="0"/>
          <w:noProof/>
          <w:sz w:val="22"/>
          <w:szCs w:val="22"/>
          <w:lang w:val="en-US"/>
        </w:rPr>
      </w:pPr>
      <w:hyperlink w:anchor="_Toc31088434" w:history="1">
        <w:r w:rsidR="00BA739E" w:rsidRPr="006C4519">
          <w:rPr>
            <w:rStyle w:val="Hyperlink"/>
            <w:noProof/>
          </w:rPr>
          <w:t>Section 3 Quality management</w:t>
        </w:r>
        <w:r w:rsidR="00BA739E">
          <w:rPr>
            <w:noProof/>
            <w:webHidden/>
          </w:rPr>
          <w:tab/>
        </w:r>
        <w:r w:rsidR="00BA739E">
          <w:rPr>
            <w:noProof/>
            <w:webHidden/>
          </w:rPr>
          <w:fldChar w:fldCharType="begin"/>
        </w:r>
        <w:r w:rsidR="00BA739E">
          <w:rPr>
            <w:noProof/>
            <w:webHidden/>
          </w:rPr>
          <w:instrText xml:space="preserve"> PAGEREF _Toc31088434 \h </w:instrText>
        </w:r>
        <w:r w:rsidR="00BA739E">
          <w:rPr>
            <w:noProof/>
            <w:webHidden/>
          </w:rPr>
        </w:r>
        <w:r w:rsidR="00BA739E">
          <w:rPr>
            <w:noProof/>
            <w:webHidden/>
          </w:rPr>
          <w:fldChar w:fldCharType="separate"/>
        </w:r>
        <w:r w:rsidR="00BA739E">
          <w:rPr>
            <w:noProof/>
            <w:webHidden/>
          </w:rPr>
          <w:t>5</w:t>
        </w:r>
        <w:r w:rsidR="00BA739E">
          <w:rPr>
            <w:noProof/>
            <w:webHidden/>
          </w:rPr>
          <w:fldChar w:fldCharType="end"/>
        </w:r>
      </w:hyperlink>
    </w:p>
    <w:p w14:paraId="28FC3B0B" w14:textId="2BB128BB" w:rsidR="00383995" w:rsidRDefault="0063046A" w:rsidP="00BA623E">
      <w:r>
        <w:fldChar w:fldCharType="end"/>
      </w:r>
      <w:r w:rsidR="00383995">
        <w:br w:type="page"/>
      </w:r>
    </w:p>
    <w:tbl>
      <w:tblPr>
        <w:tblW w:w="4966"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8088"/>
      </w:tblGrid>
      <w:tr w:rsidR="0063046A" w:rsidRPr="000E62B7" w14:paraId="7DD39CB7" w14:textId="77777777" w:rsidTr="003F68B7">
        <w:trPr>
          <w:trHeight w:val="432"/>
        </w:trPr>
        <w:tc>
          <w:tcPr>
            <w:tcW w:w="5000" w:type="pct"/>
            <w:gridSpan w:val="2"/>
            <w:tcBorders>
              <w:bottom w:val="single" w:sz="4" w:space="0" w:color="auto"/>
            </w:tcBorders>
            <w:shd w:val="clear" w:color="auto" w:fill="B3B3B3"/>
          </w:tcPr>
          <w:p w14:paraId="6F71DA61" w14:textId="659E304C" w:rsidR="0063046A" w:rsidRPr="00AA21BB" w:rsidRDefault="000E62B7" w:rsidP="00AA21BB">
            <w:pPr>
              <w:pStyle w:val="Heading1"/>
            </w:pPr>
            <w:r>
              <w:lastRenderedPageBreak/>
              <w:br w:type="page"/>
            </w:r>
            <w:bookmarkStart w:id="0" w:name="_Toc31088431"/>
            <w:r w:rsidR="00E81250" w:rsidRPr="00AA21BB">
              <w:t xml:space="preserve">Standard Operating Procedure </w:t>
            </w:r>
            <w:r w:rsidR="00CE5561">
              <w:t>4</w:t>
            </w:r>
            <w:r w:rsidR="00E81250" w:rsidRPr="00AA21BB">
              <w:t xml:space="preserve"> (Sop</w:t>
            </w:r>
            <w:r w:rsidR="00CE5561">
              <w:t>4</w:t>
            </w:r>
            <w:r w:rsidR="00E81250" w:rsidRPr="00AA21BB">
              <w:t xml:space="preserve">): </w:t>
            </w:r>
            <w:r w:rsidR="00E81250">
              <w:t xml:space="preserve">Sample-Based </w:t>
            </w:r>
            <w:r w:rsidR="00E81250" w:rsidRPr="00AA21BB">
              <w:t>Area Estimation</w:t>
            </w:r>
            <w:r w:rsidR="00E86A66">
              <w:t xml:space="preserve"> Analysis</w:t>
            </w:r>
            <w:bookmarkEnd w:id="0"/>
          </w:p>
        </w:tc>
      </w:tr>
      <w:tr w:rsidR="001D5282" w:rsidRPr="000E62B7" w14:paraId="20EEF284" w14:textId="77777777" w:rsidTr="003F68B7">
        <w:trPr>
          <w:trHeight w:val="432"/>
        </w:trPr>
        <w:tc>
          <w:tcPr>
            <w:tcW w:w="5000" w:type="pct"/>
            <w:gridSpan w:val="2"/>
            <w:tcBorders>
              <w:bottom w:val="single" w:sz="4" w:space="0" w:color="auto"/>
            </w:tcBorders>
            <w:shd w:val="clear" w:color="auto" w:fill="E0E0E0"/>
          </w:tcPr>
          <w:p w14:paraId="0E279E42" w14:textId="1B1E1630" w:rsidR="001D5282" w:rsidRDefault="001D5282" w:rsidP="00CE5561">
            <w:pPr>
              <w:pStyle w:val="Heading2"/>
            </w:pPr>
            <w:bookmarkStart w:id="1" w:name="_Toc30712325"/>
            <w:bookmarkStart w:id="2" w:name="_Toc31088432"/>
            <w:r w:rsidRPr="004E698E">
              <w:t>Section 1 Overview</w:t>
            </w:r>
            <w:bookmarkEnd w:id="1"/>
            <w:bookmarkEnd w:id="2"/>
          </w:p>
        </w:tc>
      </w:tr>
      <w:tr w:rsidR="00C565E9" w:rsidRPr="000E62B7" w14:paraId="25F40370" w14:textId="77777777" w:rsidTr="003F68B7">
        <w:trPr>
          <w:trHeight w:val="432"/>
        </w:trPr>
        <w:tc>
          <w:tcPr>
            <w:tcW w:w="903" w:type="pct"/>
            <w:tcBorders>
              <w:bottom w:val="single" w:sz="4" w:space="0" w:color="auto"/>
            </w:tcBorders>
            <w:shd w:val="clear" w:color="auto" w:fill="E0E0E0"/>
          </w:tcPr>
          <w:p w14:paraId="3A3024D2" w14:textId="77777777" w:rsidR="00C565E9" w:rsidRPr="00773560" w:rsidRDefault="00F421BE" w:rsidP="00BA623E">
            <w:pPr>
              <w:pStyle w:val="NormalBold"/>
            </w:pPr>
            <w:r>
              <w:t>Purpose</w:t>
            </w:r>
          </w:p>
        </w:tc>
        <w:tc>
          <w:tcPr>
            <w:tcW w:w="4097" w:type="pct"/>
            <w:tcBorders>
              <w:bottom w:val="single" w:sz="4" w:space="0" w:color="auto"/>
            </w:tcBorders>
            <w:shd w:val="clear" w:color="auto" w:fill="auto"/>
          </w:tcPr>
          <w:p w14:paraId="64016E5E" w14:textId="77777777" w:rsidR="00164E05" w:rsidRPr="0063046A" w:rsidRDefault="00E81250" w:rsidP="00E81250">
            <w:r>
              <w:t>Derive area estimates and their uncertainties through the combined use of reference data and maps (i.e., sample-based area estimation).</w:t>
            </w:r>
            <w:r w:rsidR="000F4870">
              <w:t xml:space="preserve"> Specifically, c</w:t>
            </w:r>
            <w:r w:rsidR="000F4870" w:rsidRPr="000F4870">
              <w:t>reate an error matrix and construct estimators of area with confidence interval</w:t>
            </w:r>
            <w:r w:rsidR="000F4870">
              <w:t>s</w:t>
            </w:r>
            <w:r w:rsidR="000F4870" w:rsidRPr="000F4870">
              <w:t>; and calculate accuracy measures</w:t>
            </w:r>
          </w:p>
        </w:tc>
      </w:tr>
      <w:tr w:rsidR="009B1664" w:rsidRPr="000E62B7" w14:paraId="1B4C813B" w14:textId="77777777" w:rsidTr="003F68B7">
        <w:trPr>
          <w:trHeight w:val="432"/>
        </w:trPr>
        <w:tc>
          <w:tcPr>
            <w:tcW w:w="903" w:type="pct"/>
            <w:tcBorders>
              <w:bottom w:val="single" w:sz="4" w:space="0" w:color="auto"/>
            </w:tcBorders>
            <w:shd w:val="clear" w:color="auto" w:fill="E0E0E0"/>
          </w:tcPr>
          <w:p w14:paraId="1D3499C2" w14:textId="77777777" w:rsidR="009B1664" w:rsidRPr="009B1664" w:rsidRDefault="00E81250" w:rsidP="00BA623E">
            <w:pPr>
              <w:pStyle w:val="NormalBold"/>
            </w:pPr>
            <w:r>
              <w:t>Scope</w:t>
            </w:r>
          </w:p>
        </w:tc>
        <w:tc>
          <w:tcPr>
            <w:tcW w:w="4097" w:type="pct"/>
            <w:tcBorders>
              <w:bottom w:val="single" w:sz="4" w:space="0" w:color="auto"/>
            </w:tcBorders>
            <w:vAlign w:val="center"/>
          </w:tcPr>
          <w:p w14:paraId="05FB788E" w14:textId="07C4FD6D" w:rsidR="00A7677F" w:rsidRPr="0063046A" w:rsidRDefault="00186918" w:rsidP="00BA623E">
            <w:r>
              <w:t>Wall-to-wall, geospatial data supported by a reference sample</w:t>
            </w:r>
          </w:p>
        </w:tc>
      </w:tr>
      <w:tr w:rsidR="00981B22" w:rsidRPr="000E62B7" w14:paraId="16CE0AA8" w14:textId="77777777" w:rsidTr="003F68B7">
        <w:trPr>
          <w:trHeight w:val="432"/>
        </w:trPr>
        <w:tc>
          <w:tcPr>
            <w:tcW w:w="903" w:type="pct"/>
            <w:tcBorders>
              <w:bottom w:val="single" w:sz="4" w:space="0" w:color="auto"/>
            </w:tcBorders>
            <w:shd w:val="clear" w:color="auto" w:fill="E0E0E0"/>
          </w:tcPr>
          <w:p w14:paraId="61067D43" w14:textId="77777777" w:rsidR="00981B22" w:rsidRDefault="00981B22" w:rsidP="00BA623E">
            <w:pPr>
              <w:pStyle w:val="NormalBold"/>
            </w:pPr>
            <w:r>
              <w:t>Responsibilities</w:t>
            </w:r>
          </w:p>
        </w:tc>
        <w:tc>
          <w:tcPr>
            <w:tcW w:w="4097" w:type="pct"/>
            <w:tcBorders>
              <w:bottom w:val="single" w:sz="4" w:space="0" w:color="auto"/>
            </w:tcBorders>
            <w:vAlign w:val="center"/>
          </w:tcPr>
          <w:p w14:paraId="51006275" w14:textId="27EF84EF" w:rsidR="00981B22" w:rsidRDefault="005F7BC6" w:rsidP="00BA623E">
            <w:r>
              <w:t xml:space="preserve">Technical decision and policy makers in REDD+ countries and international agencies, </w:t>
            </w:r>
            <w:proofErr w:type="gramStart"/>
            <w:r>
              <w:t>multilateral</w:t>
            </w:r>
            <w:proofErr w:type="gramEnd"/>
            <w:r>
              <w:t xml:space="preserve"> and bilateral programmes, in particular for the estimation of activity data (i.e., land use/land cover change) for emissions/removals in REDD+ activities.</w:t>
            </w:r>
          </w:p>
        </w:tc>
      </w:tr>
      <w:tr w:rsidR="009B1664" w:rsidRPr="000E62B7" w14:paraId="08076A06" w14:textId="77777777" w:rsidTr="003F68B7">
        <w:trPr>
          <w:trHeight w:val="432"/>
        </w:trPr>
        <w:tc>
          <w:tcPr>
            <w:tcW w:w="903" w:type="pct"/>
            <w:tcBorders>
              <w:bottom w:val="single" w:sz="4" w:space="0" w:color="auto"/>
            </w:tcBorders>
            <w:shd w:val="clear" w:color="auto" w:fill="E0E0E0"/>
          </w:tcPr>
          <w:p w14:paraId="797B94F0" w14:textId="77777777" w:rsidR="009B1664" w:rsidRDefault="00E81250" w:rsidP="00BA623E">
            <w:pPr>
              <w:pStyle w:val="NormalBold"/>
            </w:pPr>
            <w:r>
              <w:t>Prerequisites</w:t>
            </w:r>
          </w:p>
        </w:tc>
        <w:tc>
          <w:tcPr>
            <w:tcW w:w="4097" w:type="pct"/>
            <w:tcBorders>
              <w:bottom w:val="single" w:sz="4" w:space="0" w:color="auto"/>
            </w:tcBorders>
            <w:vAlign w:val="center"/>
          </w:tcPr>
          <w:p w14:paraId="6DF820C3" w14:textId="0FE4B39D" w:rsidR="00600F04" w:rsidRDefault="00600F04" w:rsidP="00866F7B">
            <w:pPr>
              <w:numPr>
                <w:ilvl w:val="0"/>
                <w:numId w:val="1"/>
              </w:numPr>
            </w:pPr>
            <w:r w:rsidRPr="00600F04">
              <w:t>Map production</w:t>
            </w:r>
            <w:r>
              <w:t xml:space="preserve"> (SOP0)</w:t>
            </w:r>
          </w:p>
          <w:p w14:paraId="150DA716" w14:textId="6CBEC77E" w:rsidR="00AD30D1" w:rsidRDefault="00AD30D1" w:rsidP="00866F7B">
            <w:pPr>
              <w:numPr>
                <w:ilvl w:val="0"/>
                <w:numId w:val="1"/>
              </w:numPr>
            </w:pPr>
            <w:r>
              <w:t>Sampling design</w:t>
            </w:r>
            <w:r w:rsidR="000F4870">
              <w:t xml:space="preserve"> (SOP</w:t>
            </w:r>
            <w:r w:rsidR="001D5282">
              <w:t>1</w:t>
            </w:r>
            <w:r w:rsidR="000F4870">
              <w:t>)</w:t>
            </w:r>
          </w:p>
          <w:p w14:paraId="1050A6AF" w14:textId="77777777" w:rsidR="002871C9" w:rsidRDefault="00AD30D1" w:rsidP="00866F7B">
            <w:pPr>
              <w:numPr>
                <w:ilvl w:val="0"/>
                <w:numId w:val="1"/>
              </w:numPr>
              <w:jc w:val="left"/>
            </w:pPr>
            <w:r>
              <w:t>Response design</w:t>
            </w:r>
            <w:r w:rsidR="000F4870">
              <w:t xml:space="preserve"> (SOP</w:t>
            </w:r>
            <w:r w:rsidR="001D5282">
              <w:t>2</w:t>
            </w:r>
            <w:r w:rsidR="000F4870">
              <w:t>)</w:t>
            </w:r>
          </w:p>
          <w:p w14:paraId="47CFC00C" w14:textId="6FBE6D07" w:rsidR="00783AD8" w:rsidRPr="0063046A" w:rsidRDefault="00783AD8" w:rsidP="00866F7B">
            <w:pPr>
              <w:numPr>
                <w:ilvl w:val="0"/>
                <w:numId w:val="1"/>
              </w:numPr>
              <w:jc w:val="left"/>
            </w:pPr>
            <w:r>
              <w:t>Data collection (SOP3)</w:t>
            </w:r>
          </w:p>
        </w:tc>
      </w:tr>
      <w:tr w:rsidR="009B1664" w:rsidRPr="000E62B7" w14:paraId="08A43FD4" w14:textId="77777777" w:rsidTr="003F68B7">
        <w:trPr>
          <w:trHeight w:val="432"/>
        </w:trPr>
        <w:tc>
          <w:tcPr>
            <w:tcW w:w="903" w:type="pct"/>
            <w:tcBorders>
              <w:bottom w:val="single" w:sz="4" w:space="0" w:color="auto"/>
            </w:tcBorders>
            <w:shd w:val="clear" w:color="auto" w:fill="E0E0E0"/>
          </w:tcPr>
          <w:p w14:paraId="1F7B1D9B" w14:textId="77777777" w:rsidR="009B1664" w:rsidRDefault="00E81250" w:rsidP="00BA623E">
            <w:pPr>
              <w:pStyle w:val="NormalBold"/>
            </w:pPr>
            <w:r>
              <w:t>Requirements</w:t>
            </w:r>
          </w:p>
        </w:tc>
        <w:tc>
          <w:tcPr>
            <w:tcW w:w="4097" w:type="pct"/>
            <w:tcBorders>
              <w:bottom w:val="single" w:sz="4" w:space="0" w:color="auto"/>
            </w:tcBorders>
            <w:vAlign w:val="center"/>
          </w:tcPr>
          <w:p w14:paraId="512B8A57" w14:textId="77777777" w:rsidR="007F76FC" w:rsidRDefault="008210F2" w:rsidP="00866F7B">
            <w:pPr>
              <w:numPr>
                <w:ilvl w:val="0"/>
                <w:numId w:val="2"/>
              </w:numPr>
            </w:pPr>
            <w:r>
              <w:t xml:space="preserve">Interpreted reference data for all samples </w:t>
            </w:r>
            <w:proofErr w:type="gramStart"/>
            <w:r>
              <w:t>available</w:t>
            </w:r>
            <w:proofErr w:type="gramEnd"/>
          </w:p>
          <w:p w14:paraId="0E670CF1" w14:textId="77777777" w:rsidR="008210F2" w:rsidRDefault="008210F2" w:rsidP="00866F7B">
            <w:pPr>
              <w:numPr>
                <w:ilvl w:val="0"/>
                <w:numId w:val="2"/>
              </w:numPr>
            </w:pPr>
            <w:r>
              <w:t>Map data for all samples available</w:t>
            </w:r>
          </w:p>
          <w:p w14:paraId="22682B28" w14:textId="77777777" w:rsidR="008210F2" w:rsidRDefault="008210F2" w:rsidP="00866F7B">
            <w:pPr>
              <w:numPr>
                <w:ilvl w:val="0"/>
                <w:numId w:val="2"/>
              </w:numPr>
            </w:pPr>
            <w:r>
              <w:t>Reference and map class</w:t>
            </w:r>
            <w:r w:rsidR="00781D2E">
              <w:t xml:space="preserve"> labels</w:t>
            </w:r>
            <w:r>
              <w:t xml:space="preserve"> are the </w:t>
            </w:r>
            <w:proofErr w:type="gramStart"/>
            <w:r>
              <w:t>same</w:t>
            </w:r>
            <w:proofErr w:type="gramEnd"/>
          </w:p>
          <w:p w14:paraId="114C5A73" w14:textId="77777777" w:rsidR="008210F2" w:rsidRDefault="008210F2" w:rsidP="00866F7B">
            <w:pPr>
              <w:numPr>
                <w:ilvl w:val="0"/>
                <w:numId w:val="2"/>
              </w:numPr>
            </w:pPr>
            <w:r>
              <w:t>Area of all strata in map.</w:t>
            </w:r>
          </w:p>
          <w:p w14:paraId="3936BB1B" w14:textId="78946CB9" w:rsidR="007F76FC" w:rsidRDefault="007F76FC" w:rsidP="00866F7B">
            <w:pPr>
              <w:numPr>
                <w:ilvl w:val="0"/>
                <w:numId w:val="2"/>
              </w:numPr>
            </w:pPr>
            <w:r>
              <w:t>Confidence level for the estimation of uncertainties</w:t>
            </w:r>
          </w:p>
          <w:p w14:paraId="03B4BFAC" w14:textId="77777777" w:rsidR="00AA7546" w:rsidRDefault="00AA7546" w:rsidP="00BA623E">
            <w:pPr>
              <w:rPr>
                <w:rStyle w:val="NormalBoldChar"/>
              </w:rPr>
            </w:pPr>
          </w:p>
          <w:p w14:paraId="4829DA30" w14:textId="77777777" w:rsidR="00BA623E" w:rsidRPr="0063046A" w:rsidRDefault="0020397E" w:rsidP="00BA623E">
            <w:r w:rsidRPr="00BA623E">
              <w:rPr>
                <w:rStyle w:val="NormalBoldChar"/>
              </w:rPr>
              <w:t>Important Note</w:t>
            </w:r>
            <w:r w:rsidR="00781D2E">
              <w:rPr>
                <w:rStyle w:val="NormalBoldChar"/>
              </w:rPr>
              <w:t xml:space="preserve">: </w:t>
            </w:r>
          </w:p>
        </w:tc>
      </w:tr>
      <w:tr w:rsidR="00F71128" w:rsidRPr="000E62B7" w14:paraId="205924E8" w14:textId="77777777" w:rsidTr="003F68B7">
        <w:trPr>
          <w:trHeight w:val="432"/>
        </w:trPr>
        <w:tc>
          <w:tcPr>
            <w:tcW w:w="5000" w:type="pct"/>
            <w:gridSpan w:val="2"/>
            <w:tcBorders>
              <w:bottom w:val="single" w:sz="4" w:space="0" w:color="auto"/>
            </w:tcBorders>
            <w:shd w:val="clear" w:color="auto" w:fill="E0E0E0"/>
          </w:tcPr>
          <w:p w14:paraId="20315A12" w14:textId="470C5D0C" w:rsidR="00F71128" w:rsidRPr="00A56704" w:rsidRDefault="001D5282" w:rsidP="00F71128">
            <w:pPr>
              <w:pStyle w:val="Heading2"/>
            </w:pPr>
            <w:bookmarkStart w:id="3" w:name="_Toc31088433"/>
            <w:r w:rsidRPr="007154E6">
              <w:rPr>
                <w:szCs w:val="24"/>
              </w:rPr>
              <w:t xml:space="preserve">Section </w:t>
            </w:r>
            <w:r>
              <w:rPr>
                <w:szCs w:val="24"/>
              </w:rPr>
              <w:t>2</w:t>
            </w:r>
            <w:r w:rsidRPr="007154E6">
              <w:rPr>
                <w:szCs w:val="24"/>
              </w:rPr>
              <w:t xml:space="preserve"> Procedure</w:t>
            </w:r>
            <w:bookmarkEnd w:id="3"/>
          </w:p>
        </w:tc>
      </w:tr>
      <w:tr w:rsidR="00F71128" w:rsidRPr="000E62B7" w14:paraId="6C1669A0" w14:textId="77777777" w:rsidTr="003F68B7">
        <w:trPr>
          <w:trHeight w:val="432"/>
        </w:trPr>
        <w:tc>
          <w:tcPr>
            <w:tcW w:w="903" w:type="pct"/>
            <w:tcBorders>
              <w:bottom w:val="single" w:sz="4" w:space="0" w:color="auto"/>
            </w:tcBorders>
            <w:shd w:val="clear" w:color="auto" w:fill="E0E0E0"/>
          </w:tcPr>
          <w:p w14:paraId="16E98CE2" w14:textId="18E2EFE1" w:rsidR="00F71128" w:rsidRPr="0025273D" w:rsidRDefault="001D5282" w:rsidP="00F71128">
            <w:pPr>
              <w:pStyle w:val="NormalBold"/>
            </w:pPr>
            <w:r>
              <w:t>The error matrix</w:t>
            </w:r>
          </w:p>
        </w:tc>
        <w:tc>
          <w:tcPr>
            <w:tcW w:w="4097" w:type="pct"/>
            <w:tcBorders>
              <w:bottom w:val="single" w:sz="4" w:space="0" w:color="auto"/>
            </w:tcBorders>
            <w:vAlign w:val="center"/>
          </w:tcPr>
          <w:p w14:paraId="0A0210EB" w14:textId="3EC9E4E3" w:rsidR="00054948" w:rsidRDefault="00054948" w:rsidP="00F71128">
            <w:r>
              <w:t xml:space="preserve">The current SOP procedure focuses on the basis that a stratified random sampling has been performed. Yet, it is a general case that reveals the same estimators as those used when one has performed either systematic or simple random sampling (see end of </w:t>
            </w:r>
            <w:r w:rsidR="0093642B">
              <w:t>sub</w:t>
            </w:r>
            <w:r>
              <w:t xml:space="preserve">section </w:t>
            </w:r>
            <w:r w:rsidR="0093642B" w:rsidRPr="003826A8">
              <w:rPr>
                <w:i/>
                <w:iCs/>
              </w:rPr>
              <w:t>E</w:t>
            </w:r>
            <w:r w:rsidR="0093642B" w:rsidRPr="003826A8">
              <w:rPr>
                <w:i/>
                <w:iCs/>
                <w:szCs w:val="20"/>
              </w:rPr>
              <w:t>stimating</w:t>
            </w:r>
            <w:r w:rsidR="0093642B" w:rsidRPr="00781D2E">
              <w:rPr>
                <w:i/>
                <w:szCs w:val="20"/>
              </w:rPr>
              <w:t xml:space="preserve"> areas and their uncertainty</w:t>
            </w:r>
            <w:r w:rsidRPr="00781D2E">
              <w:rPr>
                <w:szCs w:val="20"/>
              </w:rPr>
              <w:t>).</w:t>
            </w:r>
            <w:r>
              <w:t xml:space="preserve"> The aim of the stratified area estimation is to eliminate bias as far as can be judged and reduce uncertainties as far as practicable. To attain both goals, reference data must be compared with map information. The reference data (from a probability sampling design) adjust for estimated systematic classification errors and estimating uncertainty, making use of the previously</w:t>
            </w:r>
            <w:r w:rsidR="003826A8">
              <w:t xml:space="preserve"> seen</w:t>
            </w:r>
            <w:r>
              <w:t xml:space="preserve"> (see SOP</w:t>
            </w:r>
            <w:r w:rsidR="0093642B">
              <w:t>1</w:t>
            </w:r>
            <w:r>
              <w:t>) stratified estimators.</w:t>
            </w:r>
          </w:p>
          <w:p w14:paraId="18CE8136" w14:textId="55E6957F" w:rsidR="00F71128" w:rsidRDefault="00F71128" w:rsidP="00F71128">
            <w:r>
              <w:t xml:space="preserve">The error matrix contrasts reference and map data and constitutes the main tool for the area analysis. First, one can construct a matrix where reference data (sample points class </w:t>
            </w:r>
            <w:r>
              <w:lastRenderedPageBreak/>
              <w:t xml:space="preserve">labels taken as ground truth) are represented in columns and map data (sample point class labels according to the available map) in rows. </w:t>
            </w:r>
          </w:p>
          <w:p w14:paraId="453FB68E" w14:textId="77777777" w:rsidR="00F71128" w:rsidRDefault="00F71128" w:rsidP="00F71128">
            <w:r>
              <w:t xml:space="preserve">Let us assume three change classes in our map and reference data. Although the objective is generalizable to any area estimation, let us also assume that we aim to detect area change. Our </w:t>
            </w:r>
            <w:r w:rsidRPr="001C788F">
              <w:rPr>
                <w:rFonts w:ascii="Cambria Math" w:hAnsi="Cambria Math"/>
                <w:i/>
              </w:rPr>
              <w:t>H=3</w:t>
            </w:r>
            <w:r w:rsidRPr="001C788F">
              <w:rPr>
                <w:i/>
              </w:rPr>
              <w:t xml:space="preserve"> </w:t>
            </w:r>
            <w:r>
              <w:t xml:space="preserve">classes might be, in this case, </w:t>
            </w:r>
            <w:r w:rsidRPr="00E270F3">
              <w:rPr>
                <w:i/>
              </w:rPr>
              <w:t>Forest</w:t>
            </w:r>
            <w:r>
              <w:t xml:space="preserve"> (stable), (Forest) </w:t>
            </w:r>
            <w:r w:rsidRPr="00E270F3">
              <w:rPr>
                <w:i/>
              </w:rPr>
              <w:t>Loss</w:t>
            </w:r>
            <w:r>
              <w:t xml:space="preserve"> and </w:t>
            </w:r>
            <w:r w:rsidRPr="00E270F3">
              <w:rPr>
                <w:i/>
              </w:rPr>
              <w:t>Non-Forest</w:t>
            </w:r>
            <w:r>
              <w:t xml:space="preserve"> (stable). </w:t>
            </w:r>
          </w:p>
          <w:p w14:paraId="384B396E" w14:textId="77777777" w:rsidR="00F71128" w:rsidRDefault="00F71128" w:rsidP="00F71128">
            <w:r>
              <w:t>Two basic steps in building error matrices are considered:</w:t>
            </w:r>
          </w:p>
          <w:p w14:paraId="38E7149E" w14:textId="03DD53B2" w:rsidR="00F71128" w:rsidRDefault="00F71128" w:rsidP="00866F7B">
            <w:pPr>
              <w:numPr>
                <w:ilvl w:val="0"/>
                <w:numId w:val="3"/>
              </w:numPr>
            </w:pPr>
            <w:r>
              <w:t>First, an error matrix of sample counts of reference and map labels is built (Table SOP</w:t>
            </w:r>
            <w:r w:rsidR="003826A8">
              <w:t>4</w:t>
            </w:r>
            <w:r>
              <w:t>.1). Along the diagonal, elements indicate matching labels (the map correctly describes the ground truth or reference), while off-diagonal elements in the tables below represent map omissions (</w:t>
            </w:r>
            <w:proofErr w:type="gramStart"/>
            <w:r w:rsidR="00C070BE" w:rsidRPr="00C070BE">
              <w:t>top down</w:t>
            </w:r>
            <w:proofErr w:type="gramEnd"/>
            <w:r w:rsidR="00C070BE" w:rsidRPr="00C070BE">
              <w:t xml:space="preserve"> direction</w:t>
            </w:r>
            <w:r>
              <w:t>) and commissions (</w:t>
            </w:r>
            <w:r w:rsidR="00C070BE" w:rsidRPr="00C070BE">
              <w:t>left-right</w:t>
            </w:r>
            <w:r w:rsidR="00C070BE" w:rsidRPr="00C3269B">
              <w:t xml:space="preserve"> </w:t>
            </w:r>
            <w:r w:rsidR="00C070BE" w:rsidRPr="00C070BE">
              <w:t>direction</w:t>
            </w:r>
            <w:r>
              <w:t xml:space="preserve">). </w:t>
            </w:r>
          </w:p>
          <w:p w14:paraId="140EBB35" w14:textId="5830A2FF" w:rsidR="00F71128" w:rsidRDefault="00F71128" w:rsidP="00866F7B">
            <w:pPr>
              <w:numPr>
                <w:ilvl w:val="0"/>
                <w:numId w:val="3"/>
              </w:numPr>
            </w:pPr>
            <w:r>
              <w:t xml:space="preserve">An extra column will calculate strata weights dividing the area of each class or stratum by the total area in the reporting land (i.e., country, </w:t>
            </w:r>
            <w:proofErr w:type="gramStart"/>
            <w:r>
              <w:t>province,..</w:t>
            </w:r>
            <w:proofErr w:type="gramEnd"/>
            <w:r>
              <w:t>)</w:t>
            </w:r>
          </w:p>
          <w:p w14:paraId="14309083" w14:textId="6879BAC7" w:rsidR="00F71128" w:rsidRDefault="00F71128" w:rsidP="00F71128">
            <w:pPr>
              <w:rPr>
                <w:b/>
                <w:sz w:val="18"/>
                <w:szCs w:val="18"/>
                <w:lang w:val="en-US"/>
              </w:rPr>
            </w:pPr>
            <w:r w:rsidRPr="00056599">
              <w:rPr>
                <w:b/>
                <w:sz w:val="18"/>
                <w:szCs w:val="18"/>
                <w:lang w:val="en-US"/>
              </w:rPr>
              <w:t>Table SOP</w:t>
            </w:r>
            <w:r w:rsidR="003826A8">
              <w:rPr>
                <w:b/>
                <w:sz w:val="18"/>
                <w:szCs w:val="18"/>
                <w:lang w:val="en-US"/>
              </w:rPr>
              <w:t>4</w:t>
            </w:r>
            <w:r w:rsidRPr="00056599">
              <w:rPr>
                <w:b/>
                <w:sz w:val="18"/>
                <w:szCs w:val="18"/>
                <w:lang w:val="en-US"/>
              </w:rPr>
              <w:t xml:space="preserve">.1. </w:t>
            </w:r>
            <w:r w:rsidRPr="007E164F">
              <w:rPr>
                <w:b/>
                <w:sz w:val="18"/>
                <w:szCs w:val="18"/>
                <w:lang w:val="en-US"/>
              </w:rPr>
              <w:t>Error matrix of sample counts.</w:t>
            </w:r>
          </w:p>
          <w:tbl>
            <w:tblPr>
              <w:tblW w:w="0" w:type="auto"/>
              <w:tblCellMar>
                <w:top w:w="10" w:type="dxa"/>
                <w:right w:w="78" w:type="dxa"/>
              </w:tblCellMar>
              <w:tblLook w:val="04A0" w:firstRow="1" w:lastRow="0" w:firstColumn="1" w:lastColumn="0" w:noHBand="0" w:noVBand="1"/>
            </w:tblPr>
            <w:tblGrid>
              <w:gridCol w:w="2108"/>
              <w:gridCol w:w="1388"/>
              <w:gridCol w:w="1000"/>
              <w:gridCol w:w="1177"/>
              <w:gridCol w:w="838"/>
              <w:gridCol w:w="1369"/>
            </w:tblGrid>
            <w:tr w:rsidR="000B74EA" w:rsidRPr="00D436CD" w14:paraId="0579D179" w14:textId="77777777" w:rsidTr="00692125">
              <w:trPr>
                <w:cantSplit/>
                <w:trHeight w:val="319"/>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D8D1FA" w14:textId="77777777" w:rsidR="000B74EA" w:rsidRPr="00D436CD" w:rsidRDefault="000B74EA" w:rsidP="003F68B7">
                  <w:pPr>
                    <w:spacing w:after="0" w:line="259" w:lineRule="auto"/>
                    <w:ind w:left="14"/>
                    <w:jc w:val="center"/>
                    <w:rPr>
                      <w:rFonts w:ascii="Calibri" w:hAnsi="Calibri"/>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14:paraId="0EFC66F3" w14:textId="77777777" w:rsidR="000B74EA" w:rsidRPr="003E3BBD" w:rsidRDefault="000B74EA" w:rsidP="003F68B7">
                  <w:pPr>
                    <w:spacing w:after="0" w:line="259" w:lineRule="auto"/>
                    <w:ind w:right="32"/>
                    <w:jc w:val="center"/>
                  </w:pPr>
                  <w:r w:rsidRPr="003E3BBD">
                    <w:t>Reference data</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040626F6" w14:textId="0B84122B" w:rsidR="000B74EA" w:rsidRPr="003E3BBD" w:rsidRDefault="000B74EA" w:rsidP="003F68B7">
                  <w:pPr>
                    <w:spacing w:after="0" w:line="259" w:lineRule="auto"/>
                    <w:ind w:right="32"/>
                    <w:jc w:val="center"/>
                  </w:pPr>
                  <w:r w:rsidRPr="000B74EA">
                    <w:t>Area map</w:t>
                  </w:r>
                </w:p>
              </w:tc>
              <w:tc>
                <w:tcPr>
                  <w:tcW w:w="0" w:type="auto"/>
                  <w:vMerge w:val="restart"/>
                  <w:tcBorders>
                    <w:top w:val="single" w:sz="4" w:space="0" w:color="000000"/>
                    <w:left w:val="single" w:sz="4" w:space="0" w:color="000000"/>
                    <w:right w:val="single" w:sz="4" w:space="0" w:color="000000"/>
                  </w:tcBorders>
                  <w:shd w:val="clear" w:color="auto" w:fill="auto"/>
                </w:tcPr>
                <w:p w14:paraId="655EEB68" w14:textId="01E86D3C" w:rsidR="000B74EA" w:rsidRPr="003E3BBD" w:rsidRDefault="000B74EA" w:rsidP="003F68B7">
                  <w:pPr>
                    <w:spacing w:after="125" w:line="259" w:lineRule="auto"/>
                    <w:ind w:right="33"/>
                    <w:jc w:val="center"/>
                  </w:pPr>
                  <w:r>
                    <w:t>Strata weight (</w:t>
                  </w:r>
                  <w:proofErr w:type="spellStart"/>
                  <w:r w:rsidRPr="003F68B7">
                    <w:rPr>
                      <w:i/>
                    </w:rPr>
                    <w:t>w</w:t>
                  </w:r>
                  <w:r w:rsidRPr="003F68B7">
                    <w:rPr>
                      <w:i/>
                      <w:vertAlign w:val="subscript"/>
                    </w:rPr>
                    <w:t>h</w:t>
                  </w:r>
                  <w:proofErr w:type="spellEnd"/>
                  <w:r>
                    <w:t>)</w:t>
                  </w:r>
                </w:p>
              </w:tc>
            </w:tr>
            <w:tr w:rsidR="000B74EA" w:rsidRPr="00D436CD" w14:paraId="4E84DC9A" w14:textId="77777777" w:rsidTr="00692125">
              <w:trPr>
                <w:cantSplit/>
                <w:trHeight w:val="323"/>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65B685" w14:textId="77777777" w:rsidR="000B74EA" w:rsidRPr="003E3BBD" w:rsidRDefault="000B74EA" w:rsidP="003F68B7">
                  <w:pPr>
                    <w:spacing w:after="0" w:line="259" w:lineRule="auto"/>
                    <w:ind w:left="14"/>
                    <w:jc w:val="center"/>
                  </w:pPr>
                  <w:r w:rsidRPr="003E3BBD">
                    <w:t>Map data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17E28F" w14:textId="77777777" w:rsidR="000B74EA" w:rsidRPr="003E3BBD" w:rsidRDefault="000B74EA" w:rsidP="003F68B7">
                  <w:pPr>
                    <w:spacing w:after="0" w:line="259" w:lineRule="auto"/>
                    <w:ind w:right="12"/>
                    <w:jc w:val="center"/>
                  </w:pPr>
                  <w:r>
                    <w:t>Deforestation</w:t>
                  </w:r>
                </w:p>
              </w:tc>
              <w:tc>
                <w:tcPr>
                  <w:tcW w:w="0" w:type="auto"/>
                  <w:tcBorders>
                    <w:top w:val="nil"/>
                    <w:left w:val="single" w:sz="4" w:space="0" w:color="000000"/>
                    <w:bottom w:val="single" w:sz="4" w:space="0" w:color="000000"/>
                    <w:right w:val="single" w:sz="4" w:space="0" w:color="000000"/>
                  </w:tcBorders>
                </w:tcPr>
                <w:p w14:paraId="595B6469" w14:textId="77777777" w:rsidR="000B74EA" w:rsidRPr="003E3BBD" w:rsidRDefault="000B74EA" w:rsidP="003F68B7">
                  <w:pPr>
                    <w:spacing w:after="160" w:line="259" w:lineRule="auto"/>
                    <w:jc w:val="center"/>
                  </w:pPr>
                  <w:r w:rsidRPr="003E3BBD">
                    <w:t>Stable forest</w:t>
                  </w:r>
                </w:p>
              </w:tc>
              <w:tc>
                <w:tcPr>
                  <w:tcW w:w="0" w:type="auto"/>
                  <w:tcBorders>
                    <w:top w:val="nil"/>
                    <w:left w:val="single" w:sz="4" w:space="0" w:color="000000"/>
                    <w:bottom w:val="single" w:sz="4" w:space="0" w:color="000000"/>
                    <w:right w:val="single" w:sz="4" w:space="0" w:color="000000"/>
                  </w:tcBorders>
                </w:tcPr>
                <w:p w14:paraId="2227EF88" w14:textId="77777777" w:rsidR="000B74EA" w:rsidRPr="003E3BBD" w:rsidRDefault="000B74EA" w:rsidP="003F68B7">
                  <w:pPr>
                    <w:spacing w:after="160" w:line="259" w:lineRule="auto"/>
                    <w:jc w:val="center"/>
                  </w:pPr>
                  <w:r w:rsidRPr="003E3BBD">
                    <w:t>Stable non-forest</w:t>
                  </w:r>
                </w:p>
              </w:tc>
              <w:tc>
                <w:tcPr>
                  <w:tcW w:w="0" w:type="auto"/>
                  <w:vMerge/>
                  <w:tcBorders>
                    <w:left w:val="single" w:sz="4" w:space="0" w:color="000000"/>
                    <w:bottom w:val="single" w:sz="4" w:space="0" w:color="000000"/>
                    <w:right w:val="single" w:sz="4" w:space="0" w:color="000000"/>
                  </w:tcBorders>
                  <w:shd w:val="clear" w:color="auto" w:fill="auto"/>
                </w:tcPr>
                <w:p w14:paraId="711CF0A5" w14:textId="77777777" w:rsidR="000B74EA" w:rsidRPr="00D436CD" w:rsidRDefault="000B74EA" w:rsidP="003F68B7">
                  <w:pPr>
                    <w:spacing w:after="160" w:line="259" w:lineRule="auto"/>
                    <w:jc w:val="left"/>
                    <w:rPr>
                      <w:rFonts w:ascii="Calibri" w:hAnsi="Calibri"/>
                      <w:szCs w:val="22"/>
                    </w:rPr>
                  </w:pPr>
                </w:p>
              </w:tc>
              <w:tc>
                <w:tcPr>
                  <w:tcW w:w="0" w:type="auto"/>
                  <w:vMerge/>
                  <w:tcBorders>
                    <w:left w:val="single" w:sz="4" w:space="0" w:color="000000"/>
                    <w:bottom w:val="single" w:sz="4" w:space="0" w:color="000000"/>
                    <w:right w:val="single" w:sz="4" w:space="0" w:color="000000"/>
                  </w:tcBorders>
                  <w:shd w:val="clear" w:color="auto" w:fill="auto"/>
                </w:tcPr>
                <w:p w14:paraId="7E48EBA4" w14:textId="77777777" w:rsidR="000B74EA" w:rsidRPr="00D436CD" w:rsidRDefault="000B74EA" w:rsidP="003F68B7">
                  <w:pPr>
                    <w:spacing w:after="160" w:line="259" w:lineRule="auto"/>
                    <w:jc w:val="center"/>
                    <w:rPr>
                      <w:rFonts w:ascii="Calibri" w:hAnsi="Calibri"/>
                      <w:szCs w:val="22"/>
                    </w:rPr>
                  </w:pPr>
                </w:p>
              </w:tc>
            </w:tr>
            <w:tr w:rsidR="000B74EA" w:rsidRPr="00D436CD" w14:paraId="6EB89EBA" w14:textId="77777777" w:rsidTr="000B74EA">
              <w:trPr>
                <w:cantSplit/>
                <w:trHeight w:val="331"/>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0FDAAF" w14:textId="77777777" w:rsidR="000B74EA" w:rsidRPr="003E3BBD" w:rsidRDefault="000B74EA" w:rsidP="000B74EA">
                  <w:pPr>
                    <w:spacing w:after="0" w:line="259" w:lineRule="auto"/>
                    <w:ind w:right="32"/>
                    <w:jc w:val="center"/>
                  </w:pPr>
                  <w:r w:rsidRPr="003E3BBD">
                    <w:t xml:space="preserve">High probability of deforestation </w:t>
                  </w:r>
                </w:p>
              </w:tc>
              <w:tc>
                <w:tcPr>
                  <w:tcW w:w="0" w:type="auto"/>
                  <w:tcBorders>
                    <w:top w:val="single" w:sz="4" w:space="0" w:color="000000"/>
                    <w:left w:val="single" w:sz="4" w:space="0" w:color="000000"/>
                    <w:bottom w:val="single" w:sz="4" w:space="0" w:color="000000"/>
                    <w:right w:val="single" w:sz="4" w:space="0" w:color="000000"/>
                  </w:tcBorders>
                  <w:shd w:val="clear" w:color="auto" w:fill="9BBB59"/>
                </w:tcPr>
                <w:p w14:paraId="2D454424" w14:textId="01061CB7" w:rsidR="000B74EA" w:rsidRPr="003E3BBD" w:rsidRDefault="000B74EA" w:rsidP="000B74EA">
                  <w:pPr>
                    <w:spacing w:after="0" w:line="259" w:lineRule="auto"/>
                    <w:ind w:left="-114" w:right="39"/>
                    <w:jc w:val="center"/>
                    <w:rPr>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11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5553E761" w14:textId="2374B50E" w:rsidR="000B74EA" w:rsidRPr="003E3BBD" w:rsidRDefault="000B74EA" w:rsidP="000B74EA">
                  <w:pPr>
                    <w:spacing w:after="0" w:line="259" w:lineRule="auto"/>
                    <w:ind w:right="38"/>
                    <w:jc w:val="cente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12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0EE046F6" w14:textId="31C208CC" w:rsidR="000B74EA" w:rsidRPr="003E3BBD" w:rsidRDefault="000B74EA" w:rsidP="000B74EA">
                  <w:pPr>
                    <w:spacing w:after="0" w:line="259" w:lineRule="auto"/>
                    <w:ind w:right="38"/>
                    <w:jc w:val="center"/>
                  </w:pPr>
                  <w:r>
                    <w:rPr>
                      <w:rFonts w:cs="Arial"/>
                      <w:noProof/>
                      <w:sz w:val="18"/>
                      <w:szCs w:val="22"/>
                      <w:lang w:val="en-GB" w:eastAsia="en-GB"/>
                    </w:rPr>
                    <mc:AlternateContent>
                      <mc:Choice Requires="wps">
                        <w:drawing>
                          <wp:anchor distT="0" distB="0" distL="114300" distR="114300" simplePos="0" relativeHeight="251678720" behindDoc="0" locked="0" layoutInCell="1" allowOverlap="1" wp14:anchorId="7BD8531F" wp14:editId="34F9C45F">
                            <wp:simplePos x="0" y="0"/>
                            <wp:positionH relativeFrom="column">
                              <wp:posOffset>-127000</wp:posOffset>
                            </wp:positionH>
                            <wp:positionV relativeFrom="paragraph">
                              <wp:posOffset>74295</wp:posOffset>
                            </wp:positionV>
                            <wp:extent cx="0" cy="0"/>
                            <wp:effectExtent l="0" t="0" r="0" b="0"/>
                            <wp:wrapNone/>
                            <wp:docPr id="14" name="Straight Arrow Connector 1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D8B5E8" id="_x0000_t32" coordsize="21600,21600" o:spt="32" o:oned="t" path="m,l21600,21600e" filled="f">
                            <v:path arrowok="t" fillok="f" o:connecttype="none"/>
                            <o:lock v:ext="edit" shapetype="t"/>
                          </v:shapetype>
                          <v:shape id="Straight Arrow Connector 14" o:spid="_x0000_s1026" type="#_x0000_t32" style="position:absolute;margin-left:-10pt;margin-top:5.85pt;width:0;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" strokecolor="#4472c4 [3204]" strokeweight=".5pt">
                            <v:stroke endarrow="block" joinstyle="miter"/>
                          </v:shape>
                        </w:pict>
                      </mc:Fallback>
                    </mc:AlternateContent>
                  </w: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0F1339" w14:textId="340124FD"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1</w:t>
                  </w:r>
                  <w:r w:rsidRPr="009B4A8A">
                    <w:rPr>
                      <w:rFonts w:ascii="Cambria Math" w:eastAsia="Cambria Math" w:hAnsi="Cambria Math" w:cs="Arial"/>
                      <w:i/>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6152F7" w14:textId="0B5F50F2" w:rsidR="000B74EA" w:rsidRPr="003E3BBD" w:rsidRDefault="000B74EA" w:rsidP="000B74EA">
                  <w:pPr>
                    <w:spacing w:after="0" w:line="259" w:lineRule="auto"/>
                    <w:ind w:left="72" w:right="596"/>
                    <w:jc w:val="center"/>
                    <w:rPr>
                      <w:i/>
                    </w:rPr>
                  </w:pPr>
                  <w:r w:rsidRPr="009B4A8A">
                    <w:rPr>
                      <w:rFonts w:ascii="Cambria Math" w:eastAsia="Cambria Math" w:hAnsi="Cambria Math" w:cs="Arial"/>
                      <w:i/>
                      <w:sz w:val="18"/>
                      <w:szCs w:val="18"/>
                    </w:rPr>
                    <w:t>a</w:t>
                  </w:r>
                  <w:r w:rsidRPr="009B4A8A">
                    <w:rPr>
                      <w:rFonts w:ascii="Cambria Math" w:eastAsia="Cambria Math" w:hAnsi="Cambria Math" w:cs="Arial"/>
                      <w:i/>
                      <w:sz w:val="18"/>
                      <w:szCs w:val="18"/>
                      <w:vertAlign w:val="subscript"/>
                    </w:rPr>
                    <w:t>1.</w:t>
                  </w:r>
                </w:p>
              </w:tc>
            </w:tr>
            <w:tr w:rsidR="000B74EA" w:rsidRPr="00D436CD" w14:paraId="7C924574" w14:textId="77777777" w:rsidTr="000B74EA">
              <w:trPr>
                <w:cantSplit/>
                <w:trHeight w:val="313"/>
                <w:tblHeader/>
              </w:trPr>
              <w:tc>
                <w:tcPr>
                  <w:tcW w:w="0" w:type="auto"/>
                  <w:tcBorders>
                    <w:top w:val="nil"/>
                    <w:left w:val="single" w:sz="4" w:space="0" w:color="000000"/>
                    <w:bottom w:val="single" w:sz="4" w:space="0" w:color="auto"/>
                    <w:right w:val="single" w:sz="4" w:space="0" w:color="000000"/>
                  </w:tcBorders>
                  <w:shd w:val="clear" w:color="auto" w:fill="auto"/>
                </w:tcPr>
                <w:p w14:paraId="3BAE2CF9" w14:textId="77777777" w:rsidR="000B74EA" w:rsidRPr="003E3BBD" w:rsidRDefault="000B74EA" w:rsidP="000B74EA">
                  <w:pPr>
                    <w:spacing w:after="0" w:line="259" w:lineRule="auto"/>
                    <w:ind w:right="30"/>
                    <w:jc w:val="center"/>
                  </w:pPr>
                  <w:r w:rsidRPr="003E3BBD">
                    <w:t xml:space="preserve">40 m Buffer </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24001969" w14:textId="3E69827F" w:rsidR="000B74EA" w:rsidRPr="003E3BBD" w:rsidRDefault="000B74EA" w:rsidP="000B74EA">
                  <w:pPr>
                    <w:spacing w:after="0" w:line="259" w:lineRule="auto"/>
                    <w:ind w:left="-114" w:right="39"/>
                    <w:jc w:val="center"/>
                    <w:rPr>
                      <w:i/>
                    </w:rPr>
                  </w:pPr>
                  <w:r w:rsidRPr="00EC476F">
                    <w:rPr>
                      <w:rFonts w:ascii="Cambria Math" w:eastAsia="Cambria Math" w:hAnsi="Cambria Math" w:cs="Arial"/>
                      <w:i/>
                      <w:sz w:val="18"/>
                      <w:szCs w:val="18"/>
                    </w:rPr>
                    <w:t>n</w:t>
                  </w:r>
                  <w:r w:rsidRPr="00EC476F">
                    <w:rPr>
                      <w:rFonts w:ascii="Cambria Math" w:eastAsia="Cambria Math" w:hAnsi="Cambria Math" w:cs="Arial"/>
                      <w:i/>
                      <w:sz w:val="18"/>
                      <w:szCs w:val="18"/>
                      <w:vertAlign w:val="subscript"/>
                    </w:rPr>
                    <w:t>21</w:t>
                  </w:r>
                </w:p>
              </w:tc>
              <w:tc>
                <w:tcPr>
                  <w:tcW w:w="0" w:type="auto"/>
                  <w:tcBorders>
                    <w:top w:val="single" w:sz="4" w:space="0" w:color="000000"/>
                    <w:left w:val="single" w:sz="4" w:space="0" w:color="000000"/>
                    <w:bottom w:val="single" w:sz="4" w:space="0" w:color="000000"/>
                    <w:right w:val="single" w:sz="4" w:space="0" w:color="000000"/>
                  </w:tcBorders>
                  <w:shd w:val="clear" w:color="auto" w:fill="9BBB59"/>
                </w:tcPr>
                <w:p w14:paraId="32DB9987" w14:textId="16B303D6" w:rsidR="000B74EA" w:rsidRPr="003E3BBD" w:rsidRDefault="000B74EA" w:rsidP="000B74EA">
                  <w:pPr>
                    <w:spacing w:after="0" w:line="259" w:lineRule="auto"/>
                    <w:ind w:right="38"/>
                    <w:jc w:val="cente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22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2D9D955A" w14:textId="5C2C760B" w:rsidR="000B74EA" w:rsidRPr="003E3BBD" w:rsidRDefault="000B74EA" w:rsidP="000B74EA">
                  <w:pPr>
                    <w:spacing w:after="0" w:line="259" w:lineRule="auto"/>
                    <w:ind w:right="38"/>
                    <w:jc w:val="cente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777836" w14:textId="55038D60"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22"/>
                    </w:rPr>
                    <w:t>n</w:t>
                  </w:r>
                  <w:r w:rsidRPr="009B4A8A">
                    <w:rPr>
                      <w:rFonts w:ascii="Cambria Math" w:eastAsia="Cambria Math" w:hAnsi="Cambria Math" w:cs="Arial"/>
                      <w:i/>
                      <w:sz w:val="18"/>
                      <w:szCs w:val="18"/>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4B7347" w14:textId="2A034D69" w:rsidR="000B74EA" w:rsidRPr="003E3BBD" w:rsidRDefault="000B74EA" w:rsidP="000B74EA">
                  <w:pPr>
                    <w:spacing w:after="0" w:line="259" w:lineRule="auto"/>
                    <w:ind w:left="72" w:right="596"/>
                    <w:jc w:val="center"/>
                    <w:rPr>
                      <w:i/>
                    </w:rPr>
                  </w:pPr>
                  <w:r w:rsidRPr="009B4A8A">
                    <w:rPr>
                      <w:rFonts w:ascii="Cambria Math" w:eastAsia="Cambria Math" w:hAnsi="Cambria Math" w:cs="Arial"/>
                      <w:i/>
                      <w:sz w:val="18"/>
                      <w:szCs w:val="18"/>
                    </w:rPr>
                    <w:t>a</w:t>
                  </w:r>
                  <w:r w:rsidRPr="009B4A8A">
                    <w:rPr>
                      <w:rFonts w:ascii="Cambria Math" w:eastAsia="Cambria Math" w:hAnsi="Cambria Math" w:cs="Arial"/>
                      <w:i/>
                      <w:sz w:val="18"/>
                      <w:szCs w:val="18"/>
                      <w:vertAlign w:val="subscript"/>
                    </w:rPr>
                    <w:t>2.</w:t>
                  </w:r>
                </w:p>
              </w:tc>
            </w:tr>
            <w:tr w:rsidR="000B74EA" w:rsidRPr="00D436CD" w14:paraId="7A363D7F" w14:textId="77777777" w:rsidTr="000B74EA">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127F6B1B" w14:textId="77777777" w:rsidR="000B74EA" w:rsidRPr="003E3BBD" w:rsidRDefault="000B74EA" w:rsidP="000B74EA">
                  <w:pPr>
                    <w:spacing w:after="0" w:line="259" w:lineRule="auto"/>
                    <w:ind w:left="26"/>
                    <w:jc w:val="center"/>
                  </w:pPr>
                  <w:r w:rsidRPr="003E3BBD">
                    <w:t>Low probability of deforestation</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3D3C96F1" w14:textId="1733B5AC" w:rsidR="000B74EA" w:rsidRPr="003E3BBD" w:rsidRDefault="000B74EA" w:rsidP="000B74EA">
                  <w:pPr>
                    <w:spacing w:after="0" w:line="259" w:lineRule="auto"/>
                    <w:ind w:left="-114" w:right="39"/>
                    <w:jc w:val="center"/>
                    <w:rPr>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31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587774DD" w14:textId="1CCC0782" w:rsidR="000B74EA" w:rsidRPr="003E3BBD" w:rsidRDefault="000B74EA" w:rsidP="000B74EA">
                  <w:pPr>
                    <w:spacing w:after="0" w:line="259" w:lineRule="auto"/>
                    <w:ind w:right="38"/>
                    <w:jc w:val="cente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32</w:t>
                  </w:r>
                </w:p>
              </w:tc>
              <w:tc>
                <w:tcPr>
                  <w:tcW w:w="0" w:type="auto"/>
                  <w:tcBorders>
                    <w:top w:val="single" w:sz="4" w:space="0" w:color="000000"/>
                    <w:left w:val="single" w:sz="4" w:space="0" w:color="000000"/>
                    <w:bottom w:val="single" w:sz="4" w:space="0" w:color="000000"/>
                    <w:right w:val="single" w:sz="4" w:space="0" w:color="000000"/>
                  </w:tcBorders>
                  <w:shd w:val="clear" w:color="auto" w:fill="9BBB59"/>
                </w:tcPr>
                <w:p w14:paraId="79CB2FE7" w14:textId="3519E844" w:rsidR="000B74EA" w:rsidRPr="003E3BBD" w:rsidRDefault="000B74EA" w:rsidP="000B74EA">
                  <w:pPr>
                    <w:spacing w:after="0" w:line="259" w:lineRule="auto"/>
                    <w:ind w:right="38"/>
                    <w:jc w:val="cente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F9A729" w14:textId="48E3216D"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8E7549" w14:textId="5BBD7223" w:rsidR="000B74EA" w:rsidRPr="003E3BBD" w:rsidRDefault="000B74EA" w:rsidP="000B74EA">
                  <w:pPr>
                    <w:spacing w:after="0" w:line="259" w:lineRule="auto"/>
                    <w:ind w:left="72" w:right="596"/>
                    <w:jc w:val="center"/>
                    <w:rPr>
                      <w:i/>
                    </w:rPr>
                  </w:pPr>
                  <w:r w:rsidRPr="009B4A8A">
                    <w:rPr>
                      <w:rFonts w:ascii="Cambria Math" w:eastAsia="Cambria Math" w:hAnsi="Cambria Math" w:cs="Arial"/>
                      <w:i/>
                      <w:sz w:val="18"/>
                      <w:szCs w:val="18"/>
                    </w:rPr>
                    <w:t>a</w:t>
                  </w:r>
                  <w:r w:rsidRPr="009B4A8A">
                    <w:rPr>
                      <w:rFonts w:ascii="Cambria Math" w:eastAsia="Cambria Math" w:hAnsi="Cambria Math" w:cs="Arial"/>
                      <w:i/>
                      <w:sz w:val="18"/>
                      <w:szCs w:val="18"/>
                      <w:vertAlign w:val="subscript"/>
                    </w:rPr>
                    <w:t>3.</w:t>
                  </w:r>
                </w:p>
              </w:tc>
            </w:tr>
            <w:tr w:rsidR="000B74EA" w:rsidRPr="00D436CD" w14:paraId="557AA27D" w14:textId="77777777" w:rsidTr="000B74EA">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0DE22906" w14:textId="77777777" w:rsidR="000B74EA" w:rsidRPr="003E3BBD" w:rsidRDefault="000B74EA" w:rsidP="000B74EA">
                  <w:pPr>
                    <w:spacing w:after="0" w:line="259" w:lineRule="auto"/>
                    <w:ind w:left="26"/>
                    <w:jc w:val="center"/>
                  </w:pPr>
                  <w:r w:rsidRPr="003E3BBD">
                    <w:t>Stable forest</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384C96A2" w14:textId="5BA713E4" w:rsidR="000B74EA" w:rsidRPr="003E3BBD" w:rsidRDefault="000B74EA" w:rsidP="000B74EA">
                  <w:pPr>
                    <w:spacing w:after="0" w:line="259" w:lineRule="auto"/>
                    <w:ind w:left="-114" w:right="39"/>
                    <w:jc w:val="cente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4</w:t>
                  </w:r>
                  <w:r w:rsidRPr="009B4A8A">
                    <w:rPr>
                      <w:rFonts w:ascii="Cambria Math" w:eastAsia="Cambria Math" w:hAnsi="Cambria Math" w:cs="Arial"/>
                      <w:i/>
                      <w:sz w:val="18"/>
                      <w:szCs w:val="18"/>
                      <w:vertAlign w:val="sub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6D3B9B51" w14:textId="6654F1E8" w:rsidR="000B74EA" w:rsidRPr="003E3BBD" w:rsidRDefault="000B74EA" w:rsidP="000B74EA">
                  <w:pPr>
                    <w:spacing w:after="0" w:line="259" w:lineRule="auto"/>
                    <w:ind w:left="-114" w:right="39"/>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4</w:t>
                  </w:r>
                  <w:r w:rsidRPr="009B4A8A">
                    <w:rPr>
                      <w:rFonts w:ascii="Cambria Math" w:eastAsia="Cambria Math" w:hAnsi="Cambria Math" w:cs="Arial"/>
                      <w:i/>
                      <w:sz w:val="18"/>
                      <w:szCs w:val="18"/>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22C263CB" w14:textId="59344FF7" w:rsidR="000B74EA" w:rsidRPr="003E3BBD" w:rsidRDefault="000B74EA" w:rsidP="000B74EA">
                  <w:pPr>
                    <w:spacing w:after="0" w:line="259" w:lineRule="auto"/>
                    <w:ind w:right="38"/>
                    <w:jc w:val="center"/>
                    <w:rPr>
                      <w:i/>
                    </w:rPr>
                  </w:pPr>
                  <w:r>
                    <w:rPr>
                      <w:rFonts w:cs="Arial"/>
                      <w:noProof/>
                      <w:sz w:val="18"/>
                      <w:szCs w:val="22"/>
                      <w:lang w:val="en-GB" w:eastAsia="en-GB"/>
                    </w:rPr>
                    <mc:AlternateContent>
                      <mc:Choice Requires="wps">
                        <w:drawing>
                          <wp:anchor distT="0" distB="0" distL="114300" distR="114300" simplePos="0" relativeHeight="251684864" behindDoc="0" locked="0" layoutInCell="1" allowOverlap="1" wp14:anchorId="1BDD97CA" wp14:editId="1F14EEC3">
                            <wp:simplePos x="0" y="0"/>
                            <wp:positionH relativeFrom="column">
                              <wp:posOffset>-127000</wp:posOffset>
                            </wp:positionH>
                            <wp:positionV relativeFrom="paragraph">
                              <wp:posOffset>74295</wp:posOffset>
                            </wp:positionV>
                            <wp:extent cx="0" cy="0"/>
                            <wp:effectExtent l="0" t="0" r="0" b="0"/>
                            <wp:wrapNone/>
                            <wp:docPr id="20" name="Straight Arrow Connector 2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2C18E7" id="Straight Arrow Connector 20" o:spid="_x0000_s1026" type="#_x0000_t32" style="position:absolute;margin-left:-10pt;margin-top:5.85pt;width:0;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" strokecolor="#4472c4 [3204]" strokeweight=".5pt">
                            <v:stroke endarrow="block" joinstyle="miter"/>
                          </v:shape>
                        </w:pict>
                      </mc:Fallback>
                    </mc:AlternateContent>
                  </w: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4</w:t>
                  </w:r>
                  <w:r w:rsidRPr="009B4A8A">
                    <w:rPr>
                      <w:rFonts w:ascii="Cambria Math" w:eastAsia="Cambria Math" w:hAnsi="Cambria Math" w:cs="Arial"/>
                      <w:i/>
                      <w:sz w:val="18"/>
                      <w:szCs w:val="18"/>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7B35D8" w14:textId="0106AD82"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4</w:t>
                  </w:r>
                  <w:r w:rsidRPr="009B4A8A">
                    <w:rPr>
                      <w:rFonts w:ascii="Cambria Math" w:eastAsia="Cambria Math" w:hAnsi="Cambria Math" w:cs="Arial"/>
                      <w:i/>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CD63CE" w14:textId="13FC902C" w:rsidR="000B74EA" w:rsidRPr="003E3BBD" w:rsidRDefault="000B74EA" w:rsidP="000B74EA">
                  <w:pPr>
                    <w:spacing w:after="0" w:line="259" w:lineRule="auto"/>
                    <w:ind w:left="72" w:right="596"/>
                    <w:jc w:val="center"/>
                    <w:rPr>
                      <w:i/>
                    </w:rPr>
                  </w:pPr>
                  <w:r w:rsidRPr="009B4A8A">
                    <w:rPr>
                      <w:rFonts w:ascii="Cambria Math" w:eastAsia="Cambria Math" w:hAnsi="Cambria Math" w:cs="Arial"/>
                      <w:i/>
                      <w:sz w:val="18"/>
                      <w:szCs w:val="18"/>
                    </w:rPr>
                    <w:t>a</w:t>
                  </w:r>
                  <w:r>
                    <w:rPr>
                      <w:rFonts w:ascii="Cambria Math" w:eastAsia="Cambria Math" w:hAnsi="Cambria Math" w:cs="Arial"/>
                      <w:i/>
                      <w:sz w:val="18"/>
                      <w:szCs w:val="18"/>
                      <w:vertAlign w:val="subscript"/>
                    </w:rPr>
                    <w:t>4</w:t>
                  </w:r>
                  <w:r w:rsidRPr="009B4A8A">
                    <w:rPr>
                      <w:rFonts w:ascii="Cambria Math" w:eastAsia="Cambria Math" w:hAnsi="Cambria Math" w:cs="Arial"/>
                      <w:i/>
                      <w:sz w:val="18"/>
                      <w:szCs w:val="18"/>
                      <w:vertAlign w:val="subscript"/>
                    </w:rPr>
                    <w:t>.</w:t>
                  </w:r>
                </w:p>
              </w:tc>
            </w:tr>
            <w:tr w:rsidR="000B74EA" w:rsidRPr="00D436CD" w14:paraId="18368106" w14:textId="77777777" w:rsidTr="000B74EA">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5CB86848" w14:textId="77777777" w:rsidR="000B74EA" w:rsidRPr="003E3BBD" w:rsidRDefault="000B74EA" w:rsidP="000B74EA">
                  <w:pPr>
                    <w:spacing w:after="0" w:line="259" w:lineRule="auto"/>
                    <w:ind w:left="26"/>
                    <w:jc w:val="center"/>
                  </w:pPr>
                  <w:r w:rsidRPr="003E3BBD">
                    <w:t>Stable non-forest</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298567F3" w14:textId="195D61A0" w:rsidR="000B74EA" w:rsidRPr="003E3BBD" w:rsidRDefault="000B74EA" w:rsidP="000B74EA">
                  <w:pPr>
                    <w:spacing w:after="0" w:line="259" w:lineRule="auto"/>
                    <w:ind w:left="-114" w:right="39"/>
                    <w:jc w:val="center"/>
                  </w:pPr>
                  <w:r>
                    <w:rPr>
                      <w:rFonts w:ascii="Cambria Math" w:eastAsia="Cambria Math" w:hAnsi="Cambria Math" w:cs="Arial"/>
                      <w:i/>
                      <w:sz w:val="18"/>
                      <w:szCs w:val="18"/>
                    </w:rPr>
                    <w:t>n</w:t>
                  </w:r>
                  <w:r>
                    <w:rPr>
                      <w:rFonts w:ascii="Cambria Math" w:eastAsia="Cambria Math" w:hAnsi="Cambria Math" w:cs="Arial"/>
                      <w:i/>
                      <w:sz w:val="18"/>
                      <w:szCs w:val="18"/>
                      <w:vertAlign w:val="subscript"/>
                    </w:rPr>
                    <w:t>5</w:t>
                  </w:r>
                  <w:r w:rsidRPr="00EC476F">
                    <w:rPr>
                      <w:rFonts w:ascii="Cambria Math" w:eastAsia="Cambria Math" w:hAnsi="Cambria Math" w:cs="Arial"/>
                      <w:i/>
                      <w:sz w:val="18"/>
                      <w:szCs w:val="18"/>
                      <w:vertAlign w:val="sub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7DF1AE4A" w14:textId="4F59D171"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5</w:t>
                  </w:r>
                  <w:r w:rsidRPr="009B4A8A">
                    <w:rPr>
                      <w:rFonts w:ascii="Cambria Math" w:eastAsia="Cambria Math" w:hAnsi="Cambria Math" w:cs="Arial"/>
                      <w:i/>
                      <w:sz w:val="18"/>
                      <w:szCs w:val="18"/>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3BB844FE" w14:textId="7087C182"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5</w:t>
                  </w:r>
                  <w:r w:rsidRPr="009B4A8A">
                    <w:rPr>
                      <w:rFonts w:ascii="Cambria Math" w:eastAsia="Cambria Math" w:hAnsi="Cambria Math" w:cs="Arial"/>
                      <w:i/>
                      <w:sz w:val="18"/>
                      <w:szCs w:val="18"/>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3BA4B5" w14:textId="5B597C00"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22"/>
                    </w:rPr>
                    <w:t>n</w:t>
                  </w:r>
                  <w:r>
                    <w:rPr>
                      <w:rFonts w:ascii="Cambria Math" w:eastAsia="Cambria Math" w:hAnsi="Cambria Math" w:cs="Arial"/>
                      <w:i/>
                      <w:sz w:val="18"/>
                      <w:szCs w:val="18"/>
                      <w:vertAlign w:val="subscript"/>
                    </w:rPr>
                    <w:t>5</w:t>
                  </w:r>
                  <w:r w:rsidRPr="009B4A8A">
                    <w:rPr>
                      <w:rFonts w:ascii="Cambria Math" w:eastAsia="Cambria Math" w:hAnsi="Cambria Math" w:cs="Arial"/>
                      <w:i/>
                      <w:sz w:val="18"/>
                      <w:szCs w:val="18"/>
                      <w:vertAlign w:val="subscript"/>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2A84D4" w14:textId="0DD07D03" w:rsidR="000B74EA" w:rsidRPr="003E3BBD" w:rsidRDefault="000B74EA" w:rsidP="000B74EA">
                  <w:pPr>
                    <w:spacing w:after="0" w:line="259" w:lineRule="auto"/>
                    <w:ind w:left="72" w:right="596"/>
                    <w:jc w:val="center"/>
                    <w:rPr>
                      <w:i/>
                    </w:rPr>
                  </w:pPr>
                  <w:r w:rsidRPr="009B4A8A">
                    <w:rPr>
                      <w:rFonts w:ascii="Cambria Math" w:eastAsia="Cambria Math" w:hAnsi="Cambria Math" w:cs="Arial"/>
                      <w:i/>
                      <w:sz w:val="18"/>
                      <w:szCs w:val="18"/>
                    </w:rPr>
                    <w:t>a</w:t>
                  </w:r>
                  <w:r>
                    <w:rPr>
                      <w:rFonts w:ascii="Cambria Math" w:eastAsia="Cambria Math" w:hAnsi="Cambria Math" w:cs="Arial"/>
                      <w:i/>
                      <w:sz w:val="18"/>
                      <w:szCs w:val="18"/>
                      <w:vertAlign w:val="subscript"/>
                    </w:rPr>
                    <w:t>5</w:t>
                  </w:r>
                  <w:r w:rsidRPr="009B4A8A">
                    <w:rPr>
                      <w:rFonts w:ascii="Cambria Math" w:eastAsia="Cambria Math" w:hAnsi="Cambria Math" w:cs="Arial"/>
                      <w:i/>
                      <w:sz w:val="18"/>
                      <w:szCs w:val="18"/>
                      <w:vertAlign w:val="subscript"/>
                    </w:rPr>
                    <w:t>.</w:t>
                  </w:r>
                </w:p>
              </w:tc>
            </w:tr>
            <w:tr w:rsidR="000B74EA" w:rsidRPr="00D436CD" w14:paraId="6F963DB5" w14:textId="77777777" w:rsidTr="000B74EA">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7E008C02" w14:textId="77777777" w:rsidR="000B74EA" w:rsidRPr="003E3BBD" w:rsidRDefault="000B74EA" w:rsidP="000B74EA">
                  <w:pPr>
                    <w:spacing w:after="0" w:line="259" w:lineRule="auto"/>
                    <w:ind w:left="26"/>
                    <w:jc w:val="center"/>
                  </w:pPr>
                  <w:r w:rsidRPr="003E3BBD">
                    <w:t>New deforestation</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760817D8" w14:textId="00E3C3D1" w:rsidR="000B74EA" w:rsidRPr="003E3BBD" w:rsidRDefault="000B74EA" w:rsidP="000B74EA">
                  <w:pPr>
                    <w:spacing w:after="0" w:line="259" w:lineRule="auto"/>
                    <w:ind w:left="-114" w:right="39"/>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6</w:t>
                  </w:r>
                  <w:r w:rsidRPr="009B4A8A">
                    <w:rPr>
                      <w:rFonts w:ascii="Cambria Math" w:eastAsia="Cambria Math" w:hAnsi="Cambria Math" w:cs="Arial"/>
                      <w:i/>
                      <w:sz w:val="18"/>
                      <w:szCs w:val="18"/>
                      <w:vertAlign w:val="sub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2F87A1B2" w14:textId="10B6F683"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6</w:t>
                  </w:r>
                  <w:r w:rsidRPr="009B4A8A">
                    <w:rPr>
                      <w:rFonts w:ascii="Cambria Math" w:eastAsia="Cambria Math" w:hAnsi="Cambria Math" w:cs="Arial"/>
                      <w:i/>
                      <w:sz w:val="18"/>
                      <w:szCs w:val="18"/>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0152F69F" w14:textId="773EBE88"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6</w:t>
                  </w:r>
                  <w:r w:rsidRPr="009B4A8A">
                    <w:rPr>
                      <w:rFonts w:ascii="Cambria Math" w:eastAsia="Cambria Math" w:hAnsi="Cambria Math" w:cs="Arial"/>
                      <w:i/>
                      <w:sz w:val="18"/>
                      <w:szCs w:val="18"/>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CBD3C7" w14:textId="48F6EC81" w:rsidR="000B74EA" w:rsidRPr="003E3BBD" w:rsidRDefault="000B74EA" w:rsidP="000B74EA">
                  <w:pPr>
                    <w:spacing w:after="0" w:line="259" w:lineRule="auto"/>
                    <w:ind w:right="38"/>
                    <w:jc w:val="center"/>
                    <w:rPr>
                      <w:i/>
                    </w:rPr>
                  </w:pPr>
                  <w:r w:rsidRPr="009B4A8A">
                    <w:rPr>
                      <w:rFonts w:ascii="Cambria Math" w:eastAsia="Cambria Math" w:hAnsi="Cambria Math" w:cs="Arial"/>
                      <w:i/>
                      <w:sz w:val="18"/>
                      <w:szCs w:val="18"/>
                    </w:rPr>
                    <w:t>n</w:t>
                  </w:r>
                  <w:r>
                    <w:rPr>
                      <w:rFonts w:ascii="Cambria Math" w:eastAsia="Cambria Math" w:hAnsi="Cambria Math" w:cs="Arial"/>
                      <w:i/>
                      <w:sz w:val="18"/>
                      <w:szCs w:val="18"/>
                      <w:vertAlign w:val="subscript"/>
                    </w:rPr>
                    <w:t>6</w:t>
                  </w:r>
                  <w:r w:rsidRPr="009B4A8A">
                    <w:rPr>
                      <w:rFonts w:ascii="Cambria Math" w:eastAsia="Cambria Math" w:hAnsi="Cambria Math" w:cs="Arial"/>
                      <w:i/>
                      <w:sz w:val="18"/>
                      <w:szCs w:val="18"/>
                      <w:vertAlign w:val="subscript"/>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8864F8" w14:textId="12589CD5" w:rsidR="000B74EA" w:rsidRPr="003E3BBD" w:rsidRDefault="000B74EA" w:rsidP="000B74EA">
                  <w:pPr>
                    <w:spacing w:after="0" w:line="259" w:lineRule="auto"/>
                    <w:ind w:left="72" w:right="596"/>
                    <w:jc w:val="center"/>
                    <w:rPr>
                      <w:i/>
                    </w:rPr>
                  </w:pPr>
                  <w:r w:rsidRPr="009B4A8A">
                    <w:rPr>
                      <w:rFonts w:ascii="Cambria Math" w:eastAsia="Cambria Math" w:hAnsi="Cambria Math" w:cs="Arial"/>
                      <w:i/>
                      <w:sz w:val="18"/>
                      <w:szCs w:val="18"/>
                    </w:rPr>
                    <w:t>a</w:t>
                  </w:r>
                  <w:r>
                    <w:rPr>
                      <w:rFonts w:ascii="Cambria Math" w:eastAsia="Cambria Math" w:hAnsi="Cambria Math" w:cs="Arial"/>
                      <w:i/>
                      <w:sz w:val="18"/>
                      <w:szCs w:val="18"/>
                      <w:vertAlign w:val="subscript"/>
                    </w:rPr>
                    <w:t>6</w:t>
                  </w:r>
                  <w:r w:rsidRPr="009B4A8A">
                    <w:rPr>
                      <w:rFonts w:ascii="Cambria Math" w:eastAsia="Cambria Math" w:hAnsi="Cambria Math" w:cs="Arial"/>
                      <w:i/>
                      <w:sz w:val="18"/>
                      <w:szCs w:val="18"/>
                      <w:vertAlign w:val="subscript"/>
                    </w:rPr>
                    <w:t>.</w:t>
                  </w:r>
                </w:p>
              </w:tc>
            </w:tr>
            <w:tr w:rsidR="000B74EA" w:rsidRPr="00D436CD" w14:paraId="0F66E193" w14:textId="77777777" w:rsidTr="000B74EA">
              <w:trPr>
                <w:cantSplit/>
                <w:trHeight w:val="214"/>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CA2AC2" w14:textId="648BCDFA" w:rsidR="000B74EA" w:rsidRPr="003E3BBD" w:rsidRDefault="000B74EA" w:rsidP="000B74EA">
                  <w:pPr>
                    <w:spacing w:after="0" w:line="259" w:lineRule="auto"/>
                    <w:ind w:right="34"/>
                    <w:jc w:val="center"/>
                  </w:pPr>
                  <w:r w:rsidRPr="006C2F3D">
                    <w:rPr>
                      <w:rFonts w:cs="Arial"/>
                      <w:sz w:val="18"/>
                      <w:szCs w:val="22"/>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D744CB" w14:textId="0FE5C482" w:rsidR="000B74EA" w:rsidRPr="003E3BBD" w:rsidRDefault="000B74EA" w:rsidP="000B74EA">
                  <w:pPr>
                    <w:spacing w:after="0" w:line="259" w:lineRule="auto"/>
                    <w:ind w:left="-114" w:right="39"/>
                    <w:jc w:val="center"/>
                    <w:rPr>
                      <w:b/>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770460" w14:textId="17E6AC9F" w:rsidR="000B74EA" w:rsidRPr="003E3BBD" w:rsidRDefault="000B74EA" w:rsidP="000B74EA">
                  <w:pPr>
                    <w:spacing w:after="0" w:line="259" w:lineRule="auto"/>
                    <w:ind w:right="29"/>
                    <w:jc w:val="center"/>
                    <w:rPr>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EFAE9F" w14:textId="4C71DF4F" w:rsidR="000B74EA" w:rsidRPr="003E3BBD" w:rsidRDefault="000B74EA" w:rsidP="000B74EA">
                  <w:pPr>
                    <w:spacing w:after="0" w:line="259" w:lineRule="auto"/>
                    <w:ind w:right="29"/>
                    <w:jc w:val="center"/>
                    <w:rPr>
                      <w:i/>
                    </w:rPr>
                  </w:pPr>
                  <w:r w:rsidRPr="009B4A8A">
                    <w:rPr>
                      <w:rFonts w:ascii="Cambria Math" w:eastAsia="Cambria Math" w:hAnsi="Cambria Math" w:cs="Arial"/>
                      <w:i/>
                      <w:sz w:val="18"/>
                      <w:szCs w:val="18"/>
                    </w:rPr>
                    <w:t>n</w:t>
                  </w:r>
                  <w:r w:rsidRPr="009B4A8A">
                    <w:rPr>
                      <w:rFonts w:ascii="Cambria Math" w:eastAsia="Cambria Math" w:hAnsi="Cambria Math" w:cs="Arial"/>
                      <w:i/>
                      <w:sz w:val="18"/>
                      <w:szCs w:val="18"/>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0AB1C5" w14:textId="16473B2B" w:rsidR="000B74EA" w:rsidRPr="003E3BBD" w:rsidRDefault="000B74EA" w:rsidP="000B74EA">
                  <w:pPr>
                    <w:spacing w:after="0" w:line="259" w:lineRule="auto"/>
                    <w:ind w:right="29"/>
                    <w:jc w:val="center"/>
                    <w:rPr>
                      <w:i/>
                    </w:rPr>
                  </w:pPr>
                  <w:r w:rsidRPr="009B4A8A">
                    <w:rPr>
                      <w:rFonts w:ascii="Cambria Math" w:eastAsia="Cambria Math" w:hAnsi="Cambria Math" w:cs="Arial"/>
                      <w:i/>
                      <w:sz w:val="18"/>
                      <w:szCs w:val="22"/>
                    </w:rPr>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52D29F" w14:textId="45B5A063" w:rsidR="000B74EA" w:rsidRPr="00D436CD" w:rsidRDefault="000B74EA" w:rsidP="000B74EA">
                  <w:pPr>
                    <w:spacing w:after="0" w:line="259" w:lineRule="auto"/>
                    <w:ind w:left="72" w:right="596"/>
                    <w:jc w:val="center"/>
                    <w:rPr>
                      <w:rFonts w:ascii="Cambria Math" w:hAnsi="Cambria Math"/>
                      <w:i/>
                      <w:szCs w:val="22"/>
                    </w:rPr>
                  </w:pPr>
                  <w:r w:rsidRPr="009B4A8A">
                    <w:rPr>
                      <w:rFonts w:ascii="Cambria Math" w:hAnsi="Cambria Math" w:cs="Arial"/>
                      <w:i/>
                      <w:sz w:val="18"/>
                      <w:szCs w:val="22"/>
                    </w:rPr>
                    <w:t>a</w:t>
                  </w:r>
                </w:p>
              </w:tc>
            </w:tr>
          </w:tbl>
          <w:p w14:paraId="4E922843" w14:textId="7A62EFCF" w:rsidR="00C070BE" w:rsidRDefault="00C070BE" w:rsidP="00C070BE">
            <w:pPr>
              <w:pStyle w:val="ListParagraph"/>
              <w:ind w:left="360"/>
              <w:rPr>
                <w:szCs w:val="20"/>
                <w:lang w:val="en-US"/>
              </w:rPr>
            </w:pPr>
          </w:p>
          <w:p w14:paraId="6FABD2DF" w14:textId="36D2BBBC" w:rsidR="00C070BE" w:rsidRDefault="00C070BE" w:rsidP="00C070BE">
            <w:pPr>
              <w:pStyle w:val="ListParagraph"/>
              <w:ind w:left="360"/>
              <w:rPr>
                <w:szCs w:val="20"/>
                <w:lang w:val="en-US"/>
              </w:rPr>
            </w:pPr>
          </w:p>
          <w:p w14:paraId="539E86E9" w14:textId="0E6BFAE4" w:rsidR="00F71128" w:rsidRPr="00992B0B" w:rsidRDefault="00F71128" w:rsidP="00866F7B">
            <w:pPr>
              <w:pStyle w:val="ListParagraph"/>
              <w:numPr>
                <w:ilvl w:val="0"/>
                <w:numId w:val="3"/>
              </w:numPr>
              <w:rPr>
                <w:szCs w:val="20"/>
                <w:lang w:val="en-US"/>
              </w:rPr>
            </w:pPr>
            <w:r w:rsidRPr="00992B0B">
              <w:rPr>
                <w:szCs w:val="20"/>
                <w:lang w:val="en-US"/>
              </w:rPr>
              <w:t>To translate sample counts into actual estimated area proportions per class, it</w:t>
            </w:r>
            <w:r w:rsidR="00C070BE" w:rsidRPr="00C070BE">
              <w:rPr>
                <w:noProof/>
                <w:szCs w:val="20"/>
                <w:lang w:val="en-GB" w:eastAsia="en-GB"/>
              </w:rPr>
              <mc:AlternateContent>
                <mc:Choice Requires="wps">
                  <w:drawing>
                    <wp:anchor distT="0" distB="0" distL="114300" distR="114300" simplePos="0" relativeHeight="251673600" behindDoc="0" locked="0" layoutInCell="1" allowOverlap="1" wp14:anchorId="700F5294" wp14:editId="19FC5DB4">
                      <wp:simplePos x="0" y="0"/>
                      <wp:positionH relativeFrom="column">
                        <wp:posOffset>3601720</wp:posOffset>
                      </wp:positionH>
                      <wp:positionV relativeFrom="paragraph">
                        <wp:posOffset>4013835</wp:posOffset>
                      </wp:positionV>
                      <wp:extent cx="0" cy="950976"/>
                      <wp:effectExtent l="0" t="75248" r="20003" b="96202"/>
                      <wp:wrapNone/>
                      <wp:docPr id="11" name="Straight Arrow Connector 11"/>
                      <wp:cNvGraphicFramePr/>
                      <a:graphic xmlns:a="http://schemas.openxmlformats.org/drawingml/2006/main">
                        <a:graphicData uri="http://schemas.microsoft.com/office/word/2010/wordprocessingShape">
                          <wps:wsp>
                            <wps:cNvCnPr/>
                            <wps:spPr>
                              <a:xfrm rot="16200000">
                                <a:off x="0" y="0"/>
                                <a:ext cx="0" cy="950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374DA7" id="Straight Arrow Connector 11" o:spid="_x0000_s1026" type="#_x0000_t32" style="position:absolute;margin-left:283.6pt;margin-top:316.05pt;width:0;height:74.9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" strokecolor="black [3213]" strokeweight=".5pt">
                      <v:stroke endarrow="block" joinstyle="miter"/>
                    </v:shape>
                  </w:pict>
                </mc:Fallback>
              </mc:AlternateContent>
            </w:r>
            <w:r w:rsidR="00C070BE" w:rsidRPr="00C070BE">
              <w:rPr>
                <w:noProof/>
                <w:szCs w:val="20"/>
                <w:lang w:val="en-GB" w:eastAsia="en-GB"/>
              </w:rPr>
              <mc:AlternateContent>
                <mc:Choice Requires="wps">
                  <w:drawing>
                    <wp:anchor distT="0" distB="0" distL="114300" distR="114300" simplePos="0" relativeHeight="251674624" behindDoc="0" locked="0" layoutInCell="1" allowOverlap="1" wp14:anchorId="26CBD2C7" wp14:editId="01A3933E">
                      <wp:simplePos x="0" y="0"/>
                      <wp:positionH relativeFrom="column">
                        <wp:posOffset>4251325</wp:posOffset>
                      </wp:positionH>
                      <wp:positionV relativeFrom="paragraph">
                        <wp:posOffset>4010025</wp:posOffset>
                      </wp:positionV>
                      <wp:extent cx="0" cy="950976"/>
                      <wp:effectExtent l="0" t="75248" r="20003" b="96202"/>
                      <wp:wrapNone/>
                      <wp:docPr id="12" name="Straight Arrow Connector 12"/>
                      <wp:cNvGraphicFramePr/>
                      <a:graphic xmlns:a="http://schemas.openxmlformats.org/drawingml/2006/main">
                        <a:graphicData uri="http://schemas.microsoft.com/office/word/2010/wordprocessingShape">
                          <wps:wsp>
                            <wps:cNvCnPr/>
                            <wps:spPr>
                              <a:xfrm rot="16200000">
                                <a:off x="0" y="0"/>
                                <a:ext cx="0" cy="950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C6888B" id="Straight Arrow Connector 12" o:spid="_x0000_s1026" type="#_x0000_t32" style="position:absolute;margin-left:334.75pt;margin-top:315.75pt;width:0;height:74.9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" strokecolor="black [3213]" strokeweight=".5pt">
                      <v:stroke endarrow="block" joinstyle="miter"/>
                    </v:shape>
                  </w:pict>
                </mc:Fallback>
              </mc:AlternateContent>
            </w:r>
            <w:r w:rsidRPr="00992B0B">
              <w:rPr>
                <w:szCs w:val="20"/>
                <w:lang w:val="en-US"/>
              </w:rPr>
              <w:t xml:space="preserve"> is necessary to operate on the colored cells. For each cell area proportion is defined as </w:t>
            </w:r>
          </w:p>
          <w:p w14:paraId="03AA878B" w14:textId="77777777" w:rsidR="00F71128" w:rsidRPr="009B4A8A" w:rsidRDefault="006C409F" w:rsidP="00F71128">
            <w:pPr>
              <w:rPr>
                <w:szCs w:val="20"/>
                <w:lang w:val="en-US"/>
              </w:rPr>
            </w:pPr>
            <m:oMathPara>
              <m:oMath>
                <m:sSub>
                  <m:sSubPr>
                    <m:ctrlPr>
                      <w:rPr>
                        <w:rFonts w:ascii="Cambria Math" w:hAnsi="Cambria Math"/>
                        <w:i/>
                        <w:szCs w:val="20"/>
                        <w:lang w:val="en-US"/>
                      </w:rPr>
                    </m:ctrlPr>
                  </m:sSubPr>
                  <m:e>
                    <m:acc>
                      <m:accPr>
                        <m:ctrlPr>
                          <w:rPr>
                            <w:rFonts w:ascii="Cambria Math" w:hAnsi="Cambria Math"/>
                            <w:i/>
                            <w:szCs w:val="20"/>
                            <w:lang w:val="en-US"/>
                          </w:rPr>
                        </m:ctrlPr>
                      </m:accPr>
                      <m:e>
                        <m:r>
                          <w:rPr>
                            <w:rFonts w:ascii="Cambria Math" w:hAnsi="Cambria Math"/>
                            <w:szCs w:val="20"/>
                            <w:lang w:val="en-US"/>
                          </w:rPr>
                          <m:t>p</m:t>
                        </m:r>
                      </m:e>
                    </m:acc>
                  </m:e>
                  <m:sub>
                    <m:r>
                      <w:rPr>
                        <w:rFonts w:ascii="Cambria Math" w:hAnsi="Cambria Math"/>
                        <w:szCs w:val="20"/>
                        <w:lang w:val="en-US"/>
                      </w:rPr>
                      <m:t>hj</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w</m:t>
                    </m:r>
                  </m:e>
                  <m:sub>
                    <m:r>
                      <w:rPr>
                        <w:rFonts w:ascii="Cambria Math" w:hAnsi="Cambria Math"/>
                        <w:szCs w:val="20"/>
                        <w:lang w:val="en-US"/>
                      </w:rPr>
                      <m:t>h</m:t>
                    </m:r>
                  </m:sub>
                </m:sSub>
                <m:r>
                  <w:rPr>
                    <w:rFonts w:ascii="Cambria Math" w:hAnsi="Cambria Math"/>
                    <w:szCs w:val="20"/>
                    <w:lang w:val="en-US"/>
                  </w:rPr>
                  <m:t xml:space="preserve">∙ </m:t>
                </m:r>
                <m:f>
                  <m:fPr>
                    <m:ctrlPr>
                      <w:rPr>
                        <w:rFonts w:ascii="Cambria Math" w:hAnsi="Cambria Math"/>
                        <w:i/>
                        <w:szCs w:val="20"/>
                        <w:lang w:val="en-US"/>
                      </w:rPr>
                    </m:ctrlPr>
                  </m:fPr>
                  <m:num>
                    <m:sSub>
                      <m:sSubPr>
                        <m:ctrlPr>
                          <w:rPr>
                            <w:rFonts w:ascii="Cambria Math" w:hAnsi="Cambria Math"/>
                            <w:i/>
                            <w:szCs w:val="20"/>
                            <w:lang w:val="en-US"/>
                          </w:rPr>
                        </m:ctrlPr>
                      </m:sSubPr>
                      <m:e>
                        <m:r>
                          <w:rPr>
                            <w:rFonts w:ascii="Cambria Math" w:hAnsi="Cambria Math"/>
                            <w:szCs w:val="20"/>
                            <w:lang w:val="en-US"/>
                          </w:rPr>
                          <m:t>n</m:t>
                        </m:r>
                      </m:e>
                      <m:sub>
                        <m:r>
                          <w:rPr>
                            <w:rFonts w:ascii="Cambria Math" w:hAnsi="Cambria Math"/>
                            <w:szCs w:val="20"/>
                            <w:lang w:val="en-US"/>
                          </w:rPr>
                          <m:t>hj</m:t>
                        </m:r>
                      </m:sub>
                    </m:sSub>
                  </m:num>
                  <m:den>
                    <m:sSub>
                      <m:sSubPr>
                        <m:ctrlPr>
                          <w:rPr>
                            <w:rFonts w:ascii="Cambria Math" w:hAnsi="Cambria Math"/>
                            <w:i/>
                            <w:szCs w:val="20"/>
                            <w:lang w:val="en-US"/>
                          </w:rPr>
                        </m:ctrlPr>
                      </m:sSubPr>
                      <m:e>
                        <m:r>
                          <w:rPr>
                            <w:rFonts w:ascii="Cambria Math" w:hAnsi="Cambria Math"/>
                            <w:szCs w:val="20"/>
                            <w:lang w:val="en-US"/>
                          </w:rPr>
                          <m:t>n</m:t>
                        </m:r>
                      </m:e>
                      <m:sub>
                        <m:r>
                          <w:rPr>
                            <w:rFonts w:ascii="Cambria Math" w:hAnsi="Cambria Math"/>
                            <w:szCs w:val="20"/>
                            <w:lang w:val="en-US"/>
                          </w:rPr>
                          <m:t>h∙</m:t>
                        </m:r>
                      </m:sub>
                    </m:sSub>
                  </m:den>
                </m:f>
              </m:oMath>
            </m:oMathPara>
          </w:p>
          <w:p w14:paraId="401E8C61" w14:textId="02E42083" w:rsidR="00F71128" w:rsidRDefault="00F71128" w:rsidP="00F71128">
            <w:pPr>
              <w:ind w:left="108"/>
              <w:rPr>
                <w:szCs w:val="20"/>
                <w:lang w:val="en-US"/>
              </w:rPr>
            </w:pPr>
            <w:r>
              <w:rPr>
                <w:szCs w:val="20"/>
                <w:lang w:val="en-US"/>
              </w:rPr>
              <w:t>w</w:t>
            </w:r>
            <w:r w:rsidRPr="009B4A8A">
              <w:rPr>
                <w:szCs w:val="20"/>
                <w:lang w:val="en-US"/>
              </w:rPr>
              <w:t>here h and j stand for row and column, respectively.</w:t>
            </w:r>
            <w:r>
              <w:rPr>
                <w:szCs w:val="20"/>
                <w:lang w:val="en-US"/>
              </w:rPr>
              <w:t xml:space="preserve"> Accuracy measurements, though not relevant for the current SOP, can also be calculated from dividing individual cell area proportions by the respective map (user’s accuracy) or reference (producer’s accuracy) class area proportions. </w:t>
            </w:r>
          </w:p>
          <w:p w14:paraId="6EFC3782" w14:textId="0F18412D" w:rsidR="00F71128" w:rsidRDefault="00F71128" w:rsidP="00F71128">
            <w:pPr>
              <w:rPr>
                <w:b/>
                <w:sz w:val="18"/>
                <w:szCs w:val="18"/>
                <w:lang w:val="en-US"/>
              </w:rPr>
            </w:pPr>
            <w:r w:rsidRPr="007E164F">
              <w:rPr>
                <w:b/>
                <w:sz w:val="18"/>
                <w:szCs w:val="18"/>
                <w:lang w:val="en-US"/>
              </w:rPr>
              <w:t>Table SOP</w:t>
            </w:r>
            <w:r w:rsidR="003826A8">
              <w:rPr>
                <w:b/>
                <w:sz w:val="18"/>
                <w:szCs w:val="18"/>
                <w:lang w:val="en-US"/>
              </w:rPr>
              <w:t>4</w:t>
            </w:r>
            <w:r w:rsidRPr="007E164F">
              <w:rPr>
                <w:b/>
                <w:sz w:val="18"/>
                <w:szCs w:val="18"/>
                <w:lang w:val="en-US"/>
              </w:rPr>
              <w:t>.</w:t>
            </w:r>
            <w:r>
              <w:rPr>
                <w:b/>
                <w:sz w:val="18"/>
                <w:szCs w:val="18"/>
                <w:lang w:val="en-US"/>
              </w:rPr>
              <w:t>2</w:t>
            </w:r>
            <w:r w:rsidRPr="007E164F">
              <w:rPr>
                <w:b/>
                <w:sz w:val="18"/>
                <w:szCs w:val="18"/>
                <w:lang w:val="en-US"/>
              </w:rPr>
              <w:t xml:space="preserve">. Error matrix of </w:t>
            </w:r>
            <w:r>
              <w:rPr>
                <w:b/>
                <w:sz w:val="18"/>
                <w:szCs w:val="18"/>
                <w:lang w:val="en-US"/>
              </w:rPr>
              <w:t>area proportions</w:t>
            </w:r>
            <w:r w:rsidRPr="007E164F">
              <w:rPr>
                <w:b/>
                <w:sz w:val="18"/>
                <w:szCs w:val="18"/>
                <w:lang w:val="en-US"/>
              </w:rPr>
              <w:t>.</w:t>
            </w:r>
          </w:p>
          <w:tbl>
            <w:tblPr>
              <w:tblW w:w="0" w:type="auto"/>
              <w:tblCellMar>
                <w:top w:w="10" w:type="dxa"/>
                <w:right w:w="78" w:type="dxa"/>
              </w:tblCellMar>
              <w:tblLook w:val="04A0" w:firstRow="1" w:lastRow="0" w:firstColumn="1" w:lastColumn="0" w:noHBand="0" w:noVBand="1"/>
            </w:tblPr>
            <w:tblGrid>
              <w:gridCol w:w="2006"/>
              <w:gridCol w:w="1388"/>
              <w:gridCol w:w="971"/>
              <w:gridCol w:w="1119"/>
              <w:gridCol w:w="663"/>
              <w:gridCol w:w="1733"/>
            </w:tblGrid>
            <w:tr w:rsidR="000B74EA" w:rsidRPr="00D436CD" w14:paraId="0A3E198A" w14:textId="77777777" w:rsidTr="00D47664">
              <w:trPr>
                <w:cantSplit/>
                <w:trHeight w:val="319"/>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EA5FA0" w14:textId="77777777" w:rsidR="000B74EA" w:rsidRPr="00D436CD" w:rsidRDefault="000B74EA" w:rsidP="003F68B7">
                  <w:pPr>
                    <w:spacing w:after="0" w:line="259" w:lineRule="auto"/>
                    <w:ind w:left="14"/>
                    <w:jc w:val="center"/>
                    <w:rPr>
                      <w:rFonts w:ascii="Calibri" w:hAnsi="Calibri"/>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14:paraId="49636127" w14:textId="77777777" w:rsidR="000B74EA" w:rsidRPr="003E3BBD" w:rsidRDefault="000B74EA" w:rsidP="003F68B7">
                  <w:pPr>
                    <w:spacing w:after="0" w:line="259" w:lineRule="auto"/>
                    <w:ind w:right="32"/>
                    <w:jc w:val="center"/>
                  </w:pPr>
                  <w:r w:rsidRPr="003E3BBD">
                    <w:t>Reference data</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049301D1" w14:textId="77777777" w:rsidR="000B74EA" w:rsidRPr="003E3BBD" w:rsidRDefault="000B74EA" w:rsidP="003F68B7">
                  <w:pPr>
                    <w:spacing w:after="0" w:line="259" w:lineRule="auto"/>
                    <w:ind w:right="32"/>
                    <w:jc w:val="center"/>
                  </w:pPr>
                  <w:r w:rsidRPr="003E3BBD">
                    <w:t xml:space="preserve">Total </w:t>
                  </w:r>
                </w:p>
              </w:tc>
              <w:tc>
                <w:tcPr>
                  <w:tcW w:w="0" w:type="auto"/>
                  <w:vMerge w:val="restart"/>
                  <w:tcBorders>
                    <w:top w:val="single" w:sz="4" w:space="0" w:color="000000"/>
                    <w:left w:val="single" w:sz="4" w:space="0" w:color="000000"/>
                    <w:right w:val="single" w:sz="4" w:space="0" w:color="000000"/>
                  </w:tcBorders>
                  <w:shd w:val="clear" w:color="auto" w:fill="auto"/>
                </w:tcPr>
                <w:p w14:paraId="16B970F1" w14:textId="77777777" w:rsidR="000B74EA" w:rsidRPr="003E3BBD" w:rsidRDefault="000B74EA" w:rsidP="003F68B7">
                  <w:pPr>
                    <w:spacing w:after="125" w:line="259" w:lineRule="auto"/>
                    <w:ind w:right="33"/>
                    <w:jc w:val="center"/>
                  </w:pPr>
                  <w:r w:rsidRPr="003E3BBD">
                    <w:t>User’s</w:t>
                  </w:r>
                </w:p>
                <w:p w14:paraId="632E8200" w14:textId="77777777" w:rsidR="000B74EA" w:rsidRPr="003E3BBD" w:rsidRDefault="000B74EA" w:rsidP="003F68B7">
                  <w:pPr>
                    <w:spacing w:after="125" w:line="259" w:lineRule="auto"/>
                    <w:ind w:right="33"/>
                    <w:jc w:val="center"/>
                  </w:pPr>
                  <w:r w:rsidRPr="003E3BBD">
                    <w:t>accuracy (</w:t>
                  </w:r>
                  <w:r w:rsidRPr="003E3BBD">
                    <w:rPr>
                      <w:i/>
                    </w:rPr>
                    <w:t>Û</w:t>
                  </w:r>
                  <w:r w:rsidRPr="003E3BBD">
                    <w:rPr>
                      <w:rFonts w:ascii="Cambria Math" w:hAnsi="Cambria Math"/>
                      <w:vertAlign w:val="subscript"/>
                    </w:rPr>
                    <w:t>𝑖</w:t>
                  </w:r>
                  <w:r w:rsidRPr="003E3BBD">
                    <w:t>)</w:t>
                  </w:r>
                </w:p>
              </w:tc>
            </w:tr>
            <w:tr w:rsidR="000B74EA" w:rsidRPr="00D436CD" w14:paraId="6A97C6F5" w14:textId="77777777" w:rsidTr="00D47664">
              <w:trPr>
                <w:cantSplit/>
                <w:trHeight w:val="323"/>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6666F4" w14:textId="77777777" w:rsidR="000B74EA" w:rsidRPr="003E3BBD" w:rsidRDefault="000B74EA" w:rsidP="003F68B7">
                  <w:pPr>
                    <w:spacing w:after="0" w:line="259" w:lineRule="auto"/>
                    <w:ind w:left="14"/>
                    <w:jc w:val="center"/>
                  </w:pPr>
                  <w:r w:rsidRPr="003E3BBD">
                    <w:t>Map data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884B5F" w14:textId="77777777" w:rsidR="000B74EA" w:rsidRPr="003E3BBD" w:rsidRDefault="000B74EA" w:rsidP="003F68B7">
                  <w:pPr>
                    <w:spacing w:after="0" w:line="259" w:lineRule="auto"/>
                    <w:ind w:right="12"/>
                    <w:jc w:val="center"/>
                  </w:pPr>
                  <w:r>
                    <w:t>Deforestation</w:t>
                  </w:r>
                </w:p>
              </w:tc>
              <w:tc>
                <w:tcPr>
                  <w:tcW w:w="0" w:type="auto"/>
                  <w:tcBorders>
                    <w:top w:val="nil"/>
                    <w:left w:val="single" w:sz="4" w:space="0" w:color="000000"/>
                    <w:bottom w:val="single" w:sz="4" w:space="0" w:color="000000"/>
                    <w:right w:val="single" w:sz="4" w:space="0" w:color="000000"/>
                  </w:tcBorders>
                </w:tcPr>
                <w:p w14:paraId="71C06635" w14:textId="77777777" w:rsidR="000B74EA" w:rsidRPr="003E3BBD" w:rsidRDefault="000B74EA" w:rsidP="003F68B7">
                  <w:pPr>
                    <w:spacing w:after="160" w:line="259" w:lineRule="auto"/>
                    <w:jc w:val="center"/>
                  </w:pPr>
                  <w:r w:rsidRPr="003E3BBD">
                    <w:t>Stable forest</w:t>
                  </w:r>
                </w:p>
              </w:tc>
              <w:tc>
                <w:tcPr>
                  <w:tcW w:w="0" w:type="auto"/>
                  <w:tcBorders>
                    <w:top w:val="nil"/>
                    <w:left w:val="single" w:sz="4" w:space="0" w:color="000000"/>
                    <w:bottom w:val="single" w:sz="4" w:space="0" w:color="000000"/>
                    <w:right w:val="single" w:sz="4" w:space="0" w:color="000000"/>
                  </w:tcBorders>
                </w:tcPr>
                <w:p w14:paraId="7D1DF244" w14:textId="77777777" w:rsidR="000B74EA" w:rsidRPr="003E3BBD" w:rsidRDefault="000B74EA" w:rsidP="003F68B7">
                  <w:pPr>
                    <w:spacing w:after="160" w:line="259" w:lineRule="auto"/>
                    <w:jc w:val="center"/>
                  </w:pPr>
                  <w:r w:rsidRPr="003E3BBD">
                    <w:t>Stable non-forest</w:t>
                  </w:r>
                </w:p>
              </w:tc>
              <w:tc>
                <w:tcPr>
                  <w:tcW w:w="0" w:type="auto"/>
                  <w:vMerge/>
                  <w:tcBorders>
                    <w:left w:val="single" w:sz="4" w:space="0" w:color="000000"/>
                    <w:bottom w:val="single" w:sz="4" w:space="0" w:color="000000"/>
                    <w:right w:val="single" w:sz="4" w:space="0" w:color="000000"/>
                  </w:tcBorders>
                  <w:shd w:val="clear" w:color="auto" w:fill="auto"/>
                </w:tcPr>
                <w:p w14:paraId="00E41404" w14:textId="77777777" w:rsidR="000B74EA" w:rsidRPr="00D436CD" w:rsidRDefault="000B74EA" w:rsidP="003F68B7">
                  <w:pPr>
                    <w:spacing w:after="160" w:line="259" w:lineRule="auto"/>
                    <w:jc w:val="left"/>
                    <w:rPr>
                      <w:rFonts w:ascii="Calibri" w:hAnsi="Calibri"/>
                      <w:szCs w:val="22"/>
                    </w:rPr>
                  </w:pPr>
                </w:p>
              </w:tc>
              <w:tc>
                <w:tcPr>
                  <w:tcW w:w="0" w:type="auto"/>
                  <w:vMerge/>
                  <w:tcBorders>
                    <w:left w:val="single" w:sz="4" w:space="0" w:color="000000"/>
                    <w:bottom w:val="single" w:sz="4" w:space="0" w:color="000000"/>
                    <w:right w:val="single" w:sz="4" w:space="0" w:color="000000"/>
                  </w:tcBorders>
                  <w:shd w:val="clear" w:color="auto" w:fill="auto"/>
                </w:tcPr>
                <w:p w14:paraId="48E093ED" w14:textId="77777777" w:rsidR="000B74EA" w:rsidRPr="00D436CD" w:rsidRDefault="000B74EA" w:rsidP="003F68B7">
                  <w:pPr>
                    <w:spacing w:after="160" w:line="259" w:lineRule="auto"/>
                    <w:jc w:val="center"/>
                    <w:rPr>
                      <w:rFonts w:ascii="Calibri" w:hAnsi="Calibri"/>
                      <w:szCs w:val="22"/>
                    </w:rPr>
                  </w:pPr>
                </w:p>
              </w:tc>
            </w:tr>
            <w:tr w:rsidR="003F68B7" w:rsidRPr="00D436CD" w14:paraId="503D3964" w14:textId="77777777" w:rsidTr="003F68B7">
              <w:trPr>
                <w:cantSplit/>
                <w:trHeight w:val="331"/>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B8A4D5" w14:textId="77777777" w:rsidR="003F68B7" w:rsidRPr="003E3BBD" w:rsidRDefault="003F68B7" w:rsidP="003F68B7">
                  <w:pPr>
                    <w:spacing w:after="0" w:line="259" w:lineRule="auto"/>
                    <w:ind w:right="32"/>
                    <w:jc w:val="center"/>
                  </w:pPr>
                  <w:r w:rsidRPr="003E3BBD">
                    <w:t xml:space="preserve">High probability of deforestation </w:t>
                  </w:r>
                </w:p>
              </w:tc>
              <w:tc>
                <w:tcPr>
                  <w:tcW w:w="0" w:type="auto"/>
                  <w:tcBorders>
                    <w:top w:val="single" w:sz="4" w:space="0" w:color="000000"/>
                    <w:left w:val="single" w:sz="4" w:space="0" w:color="000000"/>
                    <w:bottom w:val="single" w:sz="4" w:space="0" w:color="000000"/>
                    <w:right w:val="single" w:sz="4" w:space="0" w:color="000000"/>
                  </w:tcBorders>
                  <w:shd w:val="clear" w:color="auto" w:fill="9BBB59"/>
                </w:tcPr>
                <w:p w14:paraId="55985492" w14:textId="77777777" w:rsidR="003F68B7" w:rsidRPr="003E3BBD" w:rsidRDefault="006C409F" w:rsidP="003F68B7">
                  <w:pPr>
                    <w:spacing w:after="0" w:line="259" w:lineRule="auto"/>
                    <w:ind w:left="-114" w:right="39"/>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11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4FF15308" w14:textId="77777777" w:rsidR="003F68B7" w:rsidRPr="003E3BBD" w:rsidRDefault="006C409F" w:rsidP="003F68B7">
                  <w:pPr>
                    <w:spacing w:after="0" w:line="259" w:lineRule="auto"/>
                    <w:ind w:right="38"/>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1</w:t>
                  </w:r>
                  <w:r w:rsidR="003F68B7">
                    <w:rPr>
                      <w:i/>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780B4C9E" w14:textId="77777777" w:rsidR="003F68B7" w:rsidRPr="003E3BBD" w:rsidRDefault="006C409F" w:rsidP="003F68B7">
                  <w:pPr>
                    <w:spacing w:after="0" w:line="259" w:lineRule="auto"/>
                    <w:ind w:right="38"/>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1</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874D1F"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1.</w:t>
                  </w:r>
                  <w:r w:rsidR="003F68B7" w:rsidRPr="003E3BBD">
                    <w:rPr>
                      <w:i/>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A684B1" w14:textId="77777777" w:rsidR="003F68B7" w:rsidRPr="003E3BBD" w:rsidRDefault="003F68B7" w:rsidP="003F68B7">
                  <w:pPr>
                    <w:spacing w:after="0" w:line="259" w:lineRule="auto"/>
                    <w:ind w:left="72" w:right="596"/>
                    <w:jc w:val="center"/>
                    <w:rPr>
                      <w:i/>
                    </w:rPr>
                  </w:pPr>
                  <w:r w:rsidRPr="003E3BBD">
                    <w:rPr>
                      <w:i/>
                    </w:rPr>
                    <w:t xml:space="preserve">       </w:t>
                  </w:r>
                  <m:oMath>
                    <m:acc>
                      <m:accPr>
                        <m:ctrlPr>
                          <w:rPr>
                            <w:rFonts w:ascii="Cambria Math" w:hAnsi="Cambria Math"/>
                            <w:i/>
                          </w:rPr>
                        </m:ctrlPr>
                      </m:accPr>
                      <m:e>
                        <m:r>
                          <w:rPr>
                            <w:rFonts w:ascii="Cambria Math" w:hAnsi="Cambria Math"/>
                          </w:rPr>
                          <m:t>p</m:t>
                        </m:r>
                      </m:e>
                    </m:acc>
                  </m:oMath>
                  <w:r w:rsidRPr="003E3BBD">
                    <w:rPr>
                      <w:i/>
                      <w:vertAlign w:val="subscript"/>
                    </w:rPr>
                    <w:t>11</w:t>
                  </w:r>
                  <w:r w:rsidRPr="003E3BBD">
                    <w:rPr>
                      <w:i/>
                    </w:rPr>
                    <w:t>/</w:t>
                  </w:r>
                  <m:oMath>
                    <m:acc>
                      <m:accPr>
                        <m:ctrlPr>
                          <w:rPr>
                            <w:rFonts w:ascii="Cambria Math" w:hAnsi="Cambria Math"/>
                            <w:i/>
                          </w:rPr>
                        </m:ctrlPr>
                      </m:accPr>
                      <m:e>
                        <m:r>
                          <w:rPr>
                            <w:rFonts w:ascii="Cambria Math" w:hAnsi="Cambria Math"/>
                          </w:rPr>
                          <m:t>p</m:t>
                        </m:r>
                      </m:e>
                    </m:acc>
                  </m:oMath>
                  <w:r w:rsidRPr="003E3BBD">
                    <w:rPr>
                      <w:i/>
                      <w:vertAlign w:val="subscript"/>
                    </w:rPr>
                    <w:t>1</w:t>
                  </w:r>
                  <w:r w:rsidRPr="003E3BBD">
                    <w:rPr>
                      <w:i/>
                    </w:rPr>
                    <w:t>.</w:t>
                  </w:r>
                </w:p>
              </w:tc>
            </w:tr>
            <w:tr w:rsidR="003F68B7" w:rsidRPr="00D436CD" w14:paraId="05130AD1" w14:textId="77777777" w:rsidTr="003F68B7">
              <w:trPr>
                <w:cantSplit/>
                <w:trHeight w:val="313"/>
                <w:tblHeader/>
              </w:trPr>
              <w:tc>
                <w:tcPr>
                  <w:tcW w:w="0" w:type="auto"/>
                  <w:tcBorders>
                    <w:top w:val="nil"/>
                    <w:left w:val="single" w:sz="4" w:space="0" w:color="000000"/>
                    <w:bottom w:val="single" w:sz="4" w:space="0" w:color="auto"/>
                    <w:right w:val="single" w:sz="4" w:space="0" w:color="000000"/>
                  </w:tcBorders>
                  <w:shd w:val="clear" w:color="auto" w:fill="auto"/>
                </w:tcPr>
                <w:p w14:paraId="57CF88EB" w14:textId="77777777" w:rsidR="003F68B7" w:rsidRPr="003E3BBD" w:rsidRDefault="003F68B7" w:rsidP="003F68B7">
                  <w:pPr>
                    <w:spacing w:after="0" w:line="259" w:lineRule="auto"/>
                    <w:ind w:right="30"/>
                    <w:jc w:val="center"/>
                  </w:pPr>
                  <w:r w:rsidRPr="003E3BBD">
                    <w:t xml:space="preserve">40 m Buffer </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4FC4862C" w14:textId="77777777" w:rsidR="003F68B7" w:rsidRPr="003E3BBD" w:rsidRDefault="006C409F" w:rsidP="003F68B7">
                  <w:pPr>
                    <w:spacing w:after="0" w:line="259" w:lineRule="auto"/>
                    <w:ind w:left="-114" w:right="39"/>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21</w:t>
                  </w:r>
                </w:p>
              </w:tc>
              <w:tc>
                <w:tcPr>
                  <w:tcW w:w="0" w:type="auto"/>
                  <w:tcBorders>
                    <w:top w:val="single" w:sz="4" w:space="0" w:color="000000"/>
                    <w:left w:val="single" w:sz="4" w:space="0" w:color="000000"/>
                    <w:bottom w:val="single" w:sz="4" w:space="0" w:color="000000"/>
                    <w:right w:val="single" w:sz="4" w:space="0" w:color="000000"/>
                  </w:tcBorders>
                  <w:shd w:val="clear" w:color="auto" w:fill="9BBB59"/>
                </w:tcPr>
                <w:p w14:paraId="415C27EA" w14:textId="77777777" w:rsidR="003F68B7" w:rsidRPr="003E3BBD" w:rsidRDefault="006C409F" w:rsidP="003F68B7">
                  <w:pPr>
                    <w:spacing w:after="0" w:line="259" w:lineRule="auto"/>
                    <w:ind w:right="38"/>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2</w:t>
                  </w:r>
                  <w:r w:rsidR="003F68B7">
                    <w:rPr>
                      <w:i/>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0774255C" w14:textId="77777777" w:rsidR="003F68B7" w:rsidRPr="003E3BBD" w:rsidRDefault="006C409F" w:rsidP="003F68B7">
                  <w:pPr>
                    <w:spacing w:after="0" w:line="259" w:lineRule="auto"/>
                    <w:ind w:right="38"/>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2</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C9FCBD"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2.</w:t>
                  </w:r>
                  <w:r w:rsidR="003F68B7" w:rsidRPr="003E3BBD">
                    <w:rPr>
                      <w:i/>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F1889F" w14:textId="77777777" w:rsidR="003F68B7" w:rsidRPr="003E3BBD" w:rsidRDefault="003F68B7" w:rsidP="003F68B7">
                  <w:pPr>
                    <w:spacing w:after="0" w:line="259" w:lineRule="auto"/>
                    <w:ind w:left="72" w:right="596"/>
                    <w:jc w:val="center"/>
                    <w:rPr>
                      <w:i/>
                    </w:rPr>
                  </w:pPr>
                  <w:r w:rsidRPr="003E3BBD">
                    <w:rPr>
                      <w:i/>
                    </w:rPr>
                    <w:t xml:space="preserve">     </w:t>
                  </w:r>
                  <m:oMath>
                    <m:acc>
                      <m:accPr>
                        <m:ctrlPr>
                          <w:rPr>
                            <w:rFonts w:ascii="Cambria Math" w:hAnsi="Cambria Math"/>
                            <w:i/>
                          </w:rPr>
                        </m:ctrlPr>
                      </m:accPr>
                      <m:e>
                        <m:r>
                          <w:rPr>
                            <w:rFonts w:ascii="Cambria Math" w:hAnsi="Cambria Math"/>
                          </w:rPr>
                          <m:t>p</m:t>
                        </m:r>
                      </m:e>
                    </m:acc>
                  </m:oMath>
                  <w:r w:rsidRPr="003E3BBD">
                    <w:rPr>
                      <w:i/>
                      <w:vertAlign w:val="subscript"/>
                    </w:rPr>
                    <w:t>22</w:t>
                  </w:r>
                  <w:r w:rsidRPr="003E3BBD">
                    <w:rPr>
                      <w:i/>
                    </w:rPr>
                    <w:t>/</w:t>
                  </w:r>
                  <m:oMath>
                    <m:acc>
                      <m:accPr>
                        <m:ctrlPr>
                          <w:rPr>
                            <w:rFonts w:ascii="Cambria Math" w:hAnsi="Cambria Math"/>
                            <w:i/>
                          </w:rPr>
                        </m:ctrlPr>
                      </m:accPr>
                      <m:e>
                        <m:r>
                          <w:rPr>
                            <w:rFonts w:ascii="Cambria Math" w:hAnsi="Cambria Math"/>
                          </w:rPr>
                          <m:t>p</m:t>
                        </m:r>
                      </m:e>
                    </m:acc>
                  </m:oMath>
                  <w:r w:rsidRPr="003E3BBD">
                    <w:rPr>
                      <w:i/>
                      <w:vertAlign w:val="subscript"/>
                    </w:rPr>
                    <w:t>2</w:t>
                  </w:r>
                  <w:r w:rsidRPr="003E3BBD">
                    <w:rPr>
                      <w:i/>
                    </w:rPr>
                    <w:t>.</w:t>
                  </w:r>
                </w:p>
              </w:tc>
            </w:tr>
            <w:tr w:rsidR="003F68B7" w:rsidRPr="00D436CD" w14:paraId="7EADC1BB" w14:textId="77777777" w:rsidTr="003F68B7">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4692993D" w14:textId="77777777" w:rsidR="003F68B7" w:rsidRPr="003E3BBD" w:rsidRDefault="003F68B7" w:rsidP="003F68B7">
                  <w:pPr>
                    <w:spacing w:after="0" w:line="259" w:lineRule="auto"/>
                    <w:ind w:left="26"/>
                    <w:jc w:val="center"/>
                  </w:pPr>
                  <w:r w:rsidRPr="003E3BBD">
                    <w:t>Low probability of deforestation</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010DA489" w14:textId="77777777" w:rsidR="003F68B7" w:rsidRPr="003E3BBD" w:rsidRDefault="006C409F" w:rsidP="003F68B7">
                  <w:pPr>
                    <w:spacing w:after="0" w:line="259" w:lineRule="auto"/>
                    <w:ind w:left="-114" w:right="39"/>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31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036DDA6A" w14:textId="77777777" w:rsidR="003F68B7" w:rsidRPr="003E3BBD" w:rsidRDefault="006C409F" w:rsidP="003F68B7">
                  <w:pPr>
                    <w:spacing w:after="0" w:line="259" w:lineRule="auto"/>
                    <w:ind w:right="38"/>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3</w:t>
                  </w:r>
                  <w:r w:rsidR="003F68B7">
                    <w:rPr>
                      <w:i/>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BBB59"/>
                </w:tcPr>
                <w:p w14:paraId="2860C24B" w14:textId="77777777" w:rsidR="003F68B7" w:rsidRPr="003E3BBD" w:rsidRDefault="006C409F" w:rsidP="003F68B7">
                  <w:pPr>
                    <w:spacing w:after="0" w:line="259" w:lineRule="auto"/>
                    <w:ind w:right="38"/>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3</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0A758C"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3.</w:t>
                  </w:r>
                  <w:r w:rsidR="003F68B7" w:rsidRPr="003E3BBD">
                    <w:rPr>
                      <w:i/>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4C3C2F" w14:textId="77777777" w:rsidR="003F68B7" w:rsidRPr="003E3BBD" w:rsidRDefault="003F68B7" w:rsidP="003F68B7">
                  <w:pPr>
                    <w:spacing w:after="0" w:line="259" w:lineRule="auto"/>
                    <w:ind w:left="72" w:right="596"/>
                    <w:jc w:val="center"/>
                    <w:rPr>
                      <w:i/>
                    </w:rPr>
                  </w:pPr>
                  <w:r w:rsidRPr="003E3BBD">
                    <w:rPr>
                      <w:i/>
                    </w:rPr>
                    <w:t xml:space="preserve">    </w:t>
                  </w:r>
                  <m:oMath>
                    <m:acc>
                      <m:accPr>
                        <m:ctrlPr>
                          <w:rPr>
                            <w:rFonts w:ascii="Cambria Math" w:hAnsi="Cambria Math"/>
                            <w:i/>
                          </w:rPr>
                        </m:ctrlPr>
                      </m:accPr>
                      <m:e>
                        <m:r>
                          <w:rPr>
                            <w:rFonts w:ascii="Cambria Math" w:hAnsi="Cambria Math"/>
                          </w:rPr>
                          <m:t>p</m:t>
                        </m:r>
                      </m:e>
                    </m:acc>
                  </m:oMath>
                  <w:r w:rsidRPr="003E3BBD">
                    <w:rPr>
                      <w:i/>
                      <w:vertAlign w:val="subscript"/>
                    </w:rPr>
                    <w:t>33</w:t>
                  </w:r>
                  <w:r w:rsidRPr="003E3BBD">
                    <w:rPr>
                      <w:i/>
                    </w:rPr>
                    <w:t>/</w:t>
                  </w:r>
                  <m:oMath>
                    <m:acc>
                      <m:accPr>
                        <m:ctrlPr>
                          <w:rPr>
                            <w:rFonts w:ascii="Cambria Math" w:hAnsi="Cambria Math"/>
                            <w:i/>
                          </w:rPr>
                        </m:ctrlPr>
                      </m:accPr>
                      <m:e>
                        <m:r>
                          <w:rPr>
                            <w:rFonts w:ascii="Cambria Math" w:hAnsi="Cambria Math"/>
                          </w:rPr>
                          <m:t>p</m:t>
                        </m:r>
                      </m:e>
                    </m:acc>
                  </m:oMath>
                  <w:r w:rsidRPr="003E3BBD">
                    <w:rPr>
                      <w:i/>
                      <w:vertAlign w:val="subscript"/>
                    </w:rPr>
                    <w:t>3</w:t>
                  </w:r>
                  <w:r w:rsidRPr="003E3BBD">
                    <w:rPr>
                      <w:i/>
                    </w:rPr>
                    <w:t>.</w:t>
                  </w:r>
                </w:p>
              </w:tc>
            </w:tr>
            <w:tr w:rsidR="003F68B7" w:rsidRPr="00D436CD" w14:paraId="23206301" w14:textId="77777777" w:rsidTr="003F68B7">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6AEE259B" w14:textId="77777777" w:rsidR="003F68B7" w:rsidRPr="003E3BBD" w:rsidRDefault="003F68B7" w:rsidP="003F68B7">
                  <w:pPr>
                    <w:spacing w:after="0" w:line="259" w:lineRule="auto"/>
                    <w:ind w:left="26"/>
                    <w:jc w:val="center"/>
                  </w:pPr>
                  <w:r w:rsidRPr="003E3BBD">
                    <w:t>Stable forest</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4D25A31E" w14:textId="77777777" w:rsidR="003F68B7" w:rsidRPr="003E3BBD" w:rsidRDefault="006C409F" w:rsidP="003F68B7">
                  <w:pPr>
                    <w:spacing w:after="0" w:line="259" w:lineRule="auto"/>
                    <w:ind w:left="-114" w:right="39"/>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41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37EFA0D2" w14:textId="77777777" w:rsidR="003F68B7" w:rsidRPr="003E3BBD" w:rsidRDefault="006C409F" w:rsidP="003F68B7">
                  <w:pPr>
                    <w:spacing w:after="0" w:line="259" w:lineRule="auto"/>
                    <w:ind w:left="-114" w:right="39"/>
                    <w:jc w:val="center"/>
                    <w:rPr>
                      <w:i/>
                    </w:rPr>
                  </w:pPr>
                  <m:oMath>
                    <m:acc>
                      <m:accPr>
                        <m:ctrlPr>
                          <w:rPr>
                            <w:rFonts w:ascii="Cambria Math" w:hAnsi="Cambria Math"/>
                            <w:i/>
                          </w:rPr>
                        </m:ctrlPr>
                      </m:accPr>
                      <m:e>
                        <m:r>
                          <w:rPr>
                            <w:rFonts w:ascii="Cambria Math" w:hAnsi="Cambria Math"/>
                          </w:rPr>
                          <m:t>p</m:t>
                        </m:r>
                      </m:e>
                    </m:acc>
                  </m:oMath>
                  <w:r w:rsidR="003F68B7">
                    <w:rPr>
                      <w:i/>
                      <w:vertAlign w:val="subscript"/>
                    </w:rPr>
                    <w:t>42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7EF979D8"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4</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C44057"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4.</w:t>
                  </w:r>
                  <w:r w:rsidR="003F68B7" w:rsidRPr="003E3BBD">
                    <w:rPr>
                      <w:i/>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E52099" w14:textId="77777777" w:rsidR="003F68B7" w:rsidRPr="003E3BBD" w:rsidRDefault="003F68B7" w:rsidP="003F68B7">
                  <w:pPr>
                    <w:spacing w:after="0" w:line="259" w:lineRule="auto"/>
                    <w:ind w:left="72" w:right="596"/>
                    <w:jc w:val="center"/>
                    <w:rPr>
                      <w:i/>
                    </w:rPr>
                  </w:pPr>
                  <w:r w:rsidRPr="003E3BBD">
                    <w:rPr>
                      <w:i/>
                    </w:rPr>
                    <w:t xml:space="preserve">    </w:t>
                  </w:r>
                  <m:oMath>
                    <m:acc>
                      <m:accPr>
                        <m:ctrlPr>
                          <w:rPr>
                            <w:rFonts w:ascii="Cambria Math" w:hAnsi="Cambria Math"/>
                            <w:i/>
                          </w:rPr>
                        </m:ctrlPr>
                      </m:accPr>
                      <m:e>
                        <m:r>
                          <w:rPr>
                            <w:rFonts w:ascii="Cambria Math" w:hAnsi="Cambria Math"/>
                          </w:rPr>
                          <m:t>p</m:t>
                        </m:r>
                      </m:e>
                    </m:acc>
                  </m:oMath>
                  <w:r w:rsidRPr="003E3BBD">
                    <w:rPr>
                      <w:i/>
                      <w:vertAlign w:val="subscript"/>
                    </w:rPr>
                    <w:t>44</w:t>
                  </w:r>
                  <w:r w:rsidRPr="003E3BBD">
                    <w:rPr>
                      <w:i/>
                    </w:rPr>
                    <w:t>/</w:t>
                  </w:r>
                  <m:oMath>
                    <m:acc>
                      <m:accPr>
                        <m:ctrlPr>
                          <w:rPr>
                            <w:rFonts w:ascii="Cambria Math" w:hAnsi="Cambria Math"/>
                            <w:i/>
                          </w:rPr>
                        </m:ctrlPr>
                      </m:accPr>
                      <m:e>
                        <m:r>
                          <w:rPr>
                            <w:rFonts w:ascii="Cambria Math" w:hAnsi="Cambria Math"/>
                          </w:rPr>
                          <m:t>p</m:t>
                        </m:r>
                      </m:e>
                    </m:acc>
                  </m:oMath>
                  <w:r w:rsidRPr="003E3BBD">
                    <w:rPr>
                      <w:i/>
                      <w:vertAlign w:val="subscript"/>
                    </w:rPr>
                    <w:t>4</w:t>
                  </w:r>
                  <w:r w:rsidRPr="003E3BBD">
                    <w:rPr>
                      <w:i/>
                    </w:rPr>
                    <w:t>.</w:t>
                  </w:r>
                </w:p>
              </w:tc>
            </w:tr>
            <w:tr w:rsidR="003F68B7" w:rsidRPr="00D436CD" w14:paraId="70E622CD" w14:textId="77777777" w:rsidTr="003F68B7">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2C82D38A" w14:textId="77777777" w:rsidR="003F68B7" w:rsidRPr="003E3BBD" w:rsidRDefault="003F68B7" w:rsidP="003F68B7">
                  <w:pPr>
                    <w:spacing w:after="0" w:line="259" w:lineRule="auto"/>
                    <w:ind w:left="26"/>
                    <w:jc w:val="center"/>
                  </w:pPr>
                  <w:r w:rsidRPr="003E3BBD">
                    <w:t>Stable non-forest</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31FA151F" w14:textId="77777777" w:rsidR="003F68B7" w:rsidRPr="003E3BBD" w:rsidRDefault="006C409F" w:rsidP="003F68B7">
                  <w:pPr>
                    <w:spacing w:after="0" w:line="259" w:lineRule="auto"/>
                    <w:ind w:left="-114" w:right="39"/>
                    <w:jc w:val="center"/>
                  </w:pPr>
                  <m:oMath>
                    <m:acc>
                      <m:accPr>
                        <m:ctrlPr>
                          <w:rPr>
                            <w:rFonts w:ascii="Cambria Math" w:hAnsi="Cambria Math"/>
                            <w:i/>
                          </w:rPr>
                        </m:ctrlPr>
                      </m:accPr>
                      <m:e>
                        <m:r>
                          <w:rPr>
                            <w:rFonts w:ascii="Cambria Math" w:hAnsi="Cambria Math"/>
                          </w:rPr>
                          <m:t>p</m:t>
                        </m:r>
                      </m:e>
                    </m:acc>
                  </m:oMath>
                  <w:r w:rsidR="003F68B7" w:rsidRPr="003E3BBD">
                    <w:rPr>
                      <w:i/>
                      <w:vertAlign w:val="subscript"/>
                    </w:rPr>
                    <w:t>51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620924BF"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5</w:t>
                  </w:r>
                  <w:r w:rsidR="003F68B7">
                    <w:rPr>
                      <w:i/>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13D38F1A"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5</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259883"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5.</w:t>
                  </w:r>
                  <w:r w:rsidR="003F68B7" w:rsidRPr="003E3BBD">
                    <w:rPr>
                      <w:i/>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5898AE" w14:textId="77777777" w:rsidR="003F68B7" w:rsidRPr="003E3BBD" w:rsidRDefault="003F68B7" w:rsidP="003F68B7">
                  <w:pPr>
                    <w:spacing w:after="0" w:line="259" w:lineRule="auto"/>
                    <w:ind w:left="72" w:right="596"/>
                    <w:jc w:val="center"/>
                    <w:rPr>
                      <w:i/>
                    </w:rPr>
                  </w:pPr>
                  <w:r w:rsidRPr="003E3BBD">
                    <w:rPr>
                      <w:i/>
                    </w:rPr>
                    <w:t xml:space="preserve">    </w:t>
                  </w:r>
                  <m:oMath>
                    <m:acc>
                      <m:accPr>
                        <m:ctrlPr>
                          <w:rPr>
                            <w:rFonts w:ascii="Cambria Math" w:hAnsi="Cambria Math"/>
                            <w:i/>
                          </w:rPr>
                        </m:ctrlPr>
                      </m:accPr>
                      <m:e>
                        <m:r>
                          <w:rPr>
                            <w:rFonts w:ascii="Cambria Math" w:hAnsi="Cambria Math"/>
                          </w:rPr>
                          <m:t>p</m:t>
                        </m:r>
                      </m:e>
                    </m:acc>
                  </m:oMath>
                  <w:r w:rsidRPr="003E3BBD">
                    <w:rPr>
                      <w:i/>
                      <w:vertAlign w:val="subscript"/>
                    </w:rPr>
                    <w:t>55</w:t>
                  </w:r>
                  <w:r w:rsidRPr="003E3BBD">
                    <w:rPr>
                      <w:i/>
                    </w:rPr>
                    <w:t>/</w:t>
                  </w:r>
                  <m:oMath>
                    <m:acc>
                      <m:accPr>
                        <m:ctrlPr>
                          <w:rPr>
                            <w:rFonts w:ascii="Cambria Math" w:hAnsi="Cambria Math"/>
                            <w:i/>
                          </w:rPr>
                        </m:ctrlPr>
                      </m:accPr>
                      <m:e>
                        <m:r>
                          <w:rPr>
                            <w:rFonts w:ascii="Cambria Math" w:hAnsi="Cambria Math"/>
                          </w:rPr>
                          <m:t>p</m:t>
                        </m:r>
                      </m:e>
                    </m:acc>
                  </m:oMath>
                  <w:r w:rsidRPr="003E3BBD">
                    <w:rPr>
                      <w:i/>
                      <w:vertAlign w:val="subscript"/>
                    </w:rPr>
                    <w:t>5</w:t>
                  </w:r>
                  <w:r w:rsidRPr="003E3BBD">
                    <w:rPr>
                      <w:i/>
                    </w:rPr>
                    <w:t>.</w:t>
                  </w:r>
                </w:p>
              </w:tc>
            </w:tr>
            <w:tr w:rsidR="003F68B7" w:rsidRPr="00D436CD" w14:paraId="71E9F6C7" w14:textId="77777777" w:rsidTr="003F68B7">
              <w:trPr>
                <w:cantSplit/>
                <w:trHeight w:val="313"/>
                <w:tblHeader/>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47D1F946" w14:textId="77777777" w:rsidR="003F68B7" w:rsidRPr="003E3BBD" w:rsidRDefault="003F68B7" w:rsidP="003F68B7">
                  <w:pPr>
                    <w:spacing w:after="0" w:line="259" w:lineRule="auto"/>
                    <w:ind w:left="26"/>
                    <w:jc w:val="center"/>
                  </w:pPr>
                  <w:r w:rsidRPr="003E3BBD">
                    <w:t>New deforestation</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5D54D45C" w14:textId="77777777" w:rsidR="003F68B7" w:rsidRPr="003E3BBD" w:rsidRDefault="006C409F" w:rsidP="003F68B7">
                  <w:pPr>
                    <w:spacing w:after="0" w:line="259" w:lineRule="auto"/>
                    <w:ind w:left="-114" w:right="39"/>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61</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1A63B6C6"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6</w:t>
                  </w:r>
                  <w:r w:rsidR="003F68B7">
                    <w:rPr>
                      <w:i/>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95B3D7"/>
                </w:tcPr>
                <w:p w14:paraId="7E678C3D"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6</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7BF6D8" w14:textId="77777777" w:rsidR="003F68B7" w:rsidRPr="003E3BBD" w:rsidRDefault="006C409F" w:rsidP="003F68B7">
                  <w:pPr>
                    <w:spacing w:after="0" w:line="259" w:lineRule="auto"/>
                    <w:ind w:right="38"/>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6.</w:t>
                  </w:r>
                  <w:r w:rsidR="003F68B7" w:rsidRPr="003E3BBD">
                    <w:rPr>
                      <w:i/>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B9B1E1" w14:textId="77777777" w:rsidR="003F68B7" w:rsidRPr="003E3BBD" w:rsidRDefault="003F68B7" w:rsidP="003F68B7">
                  <w:pPr>
                    <w:spacing w:after="0" w:line="259" w:lineRule="auto"/>
                    <w:ind w:left="72" w:right="596"/>
                    <w:jc w:val="center"/>
                    <w:rPr>
                      <w:i/>
                    </w:rPr>
                  </w:pPr>
                  <w:r w:rsidRPr="003E3BBD">
                    <w:rPr>
                      <w:i/>
                    </w:rPr>
                    <w:t xml:space="preserve">    </w:t>
                  </w:r>
                  <m:oMath>
                    <m:acc>
                      <m:accPr>
                        <m:ctrlPr>
                          <w:rPr>
                            <w:rFonts w:ascii="Cambria Math" w:hAnsi="Cambria Math"/>
                            <w:i/>
                          </w:rPr>
                        </m:ctrlPr>
                      </m:accPr>
                      <m:e>
                        <m:r>
                          <w:rPr>
                            <w:rFonts w:ascii="Cambria Math" w:hAnsi="Cambria Math"/>
                          </w:rPr>
                          <m:t>p</m:t>
                        </m:r>
                      </m:e>
                    </m:acc>
                  </m:oMath>
                  <w:r w:rsidRPr="003E3BBD">
                    <w:rPr>
                      <w:i/>
                      <w:vertAlign w:val="subscript"/>
                    </w:rPr>
                    <w:t>66</w:t>
                  </w:r>
                  <w:r w:rsidRPr="003E3BBD">
                    <w:rPr>
                      <w:i/>
                    </w:rPr>
                    <w:t>/</w:t>
                  </w:r>
                  <m:oMath>
                    <m:acc>
                      <m:accPr>
                        <m:ctrlPr>
                          <w:rPr>
                            <w:rFonts w:ascii="Cambria Math" w:hAnsi="Cambria Math"/>
                            <w:i/>
                          </w:rPr>
                        </m:ctrlPr>
                      </m:accPr>
                      <m:e>
                        <m:r>
                          <w:rPr>
                            <w:rFonts w:ascii="Cambria Math" w:hAnsi="Cambria Math"/>
                          </w:rPr>
                          <m:t>p</m:t>
                        </m:r>
                      </m:e>
                    </m:acc>
                  </m:oMath>
                  <w:r w:rsidRPr="003E3BBD">
                    <w:rPr>
                      <w:i/>
                      <w:vertAlign w:val="subscript"/>
                    </w:rPr>
                    <w:t>6</w:t>
                  </w:r>
                  <w:r w:rsidRPr="003E3BBD">
                    <w:rPr>
                      <w:i/>
                    </w:rPr>
                    <w:t>.</w:t>
                  </w:r>
                </w:p>
              </w:tc>
            </w:tr>
            <w:tr w:rsidR="003F68B7" w:rsidRPr="00D436CD" w14:paraId="58FC9814" w14:textId="77777777" w:rsidTr="003F68B7">
              <w:trPr>
                <w:cantSplit/>
                <w:trHeight w:val="214"/>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AD1BAB" w14:textId="77777777" w:rsidR="003F68B7" w:rsidRPr="003E3BBD" w:rsidRDefault="003F68B7" w:rsidP="003F68B7">
                  <w:pPr>
                    <w:spacing w:after="0" w:line="259" w:lineRule="auto"/>
                    <w:ind w:right="34"/>
                    <w:jc w:val="center"/>
                  </w:pPr>
                  <w:r w:rsidRPr="003E3BBD">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C0504D"/>
                </w:tcPr>
                <w:p w14:paraId="070B2DD7" w14:textId="77777777" w:rsidR="003F68B7" w:rsidRPr="003E3BBD" w:rsidRDefault="006C409F" w:rsidP="003F68B7">
                  <w:pPr>
                    <w:spacing w:after="0" w:line="259" w:lineRule="auto"/>
                    <w:ind w:left="-114" w:right="39"/>
                    <w:jc w:val="center"/>
                    <w:rPr>
                      <w:b/>
                      <w:i/>
                    </w:rPr>
                  </w:pPr>
                  <m:oMath>
                    <m:acc>
                      <m:accPr>
                        <m:ctrlPr>
                          <w:rPr>
                            <w:rFonts w:ascii="Cambria Math" w:hAnsi="Cambria Math"/>
                            <w:b/>
                            <w:i/>
                          </w:rPr>
                        </m:ctrlPr>
                      </m:accPr>
                      <m:e>
                        <m:r>
                          <m:rPr>
                            <m:sty m:val="bi"/>
                          </m:rPr>
                          <w:rPr>
                            <w:rFonts w:ascii="Cambria Math" w:hAnsi="Cambria Math"/>
                          </w:rPr>
                          <m:t>p</m:t>
                        </m:r>
                      </m:e>
                    </m:acc>
                  </m:oMath>
                  <w:r w:rsidR="003F68B7" w:rsidRPr="003E3BBD">
                    <w:rPr>
                      <w:b/>
                      <w:i/>
                      <w:vertAlign w:val="sub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C0504D"/>
                </w:tcPr>
                <w:p w14:paraId="52EA45DB" w14:textId="77777777" w:rsidR="003F68B7" w:rsidRPr="003E3BBD" w:rsidRDefault="006C409F" w:rsidP="003F68B7">
                  <w:pPr>
                    <w:spacing w:after="0" w:line="259" w:lineRule="auto"/>
                    <w:ind w:right="29"/>
                    <w:jc w:val="center"/>
                    <w:rPr>
                      <w:i/>
                    </w:rPr>
                  </w:pPr>
                  <m:oMath>
                    <m:acc>
                      <m:accPr>
                        <m:ctrlPr>
                          <w:rPr>
                            <w:rFonts w:ascii="Cambria Math" w:hAnsi="Cambria Math"/>
                            <w:b/>
                            <w:i/>
                          </w:rPr>
                        </m:ctrlPr>
                      </m:accPr>
                      <m:e>
                        <m:r>
                          <m:rPr>
                            <m:sty m:val="bi"/>
                          </m:rPr>
                          <w:rPr>
                            <w:rFonts w:ascii="Cambria Math" w:hAnsi="Cambria Math"/>
                          </w:rPr>
                          <m:t>p</m:t>
                        </m:r>
                      </m:e>
                    </m:acc>
                  </m:oMath>
                  <w:r w:rsidR="003F68B7" w:rsidRPr="003E3BBD">
                    <w:rPr>
                      <w:b/>
                      <w:i/>
                      <w:vertAlign w:val="subscript"/>
                    </w:rPr>
                    <w:t>.</w:t>
                  </w:r>
                  <w:r w:rsidR="003F68B7">
                    <w:rPr>
                      <w:b/>
                      <w:i/>
                      <w:vertAlign w:val="sub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C0504D"/>
                </w:tcPr>
                <w:p w14:paraId="0086B79B" w14:textId="77777777" w:rsidR="003F68B7" w:rsidRPr="003E3BBD" w:rsidRDefault="006C409F" w:rsidP="003F68B7">
                  <w:pPr>
                    <w:spacing w:after="0" w:line="259" w:lineRule="auto"/>
                    <w:ind w:right="29"/>
                    <w:jc w:val="center"/>
                    <w:rPr>
                      <w:i/>
                    </w:rPr>
                  </w:pPr>
                  <m:oMath>
                    <m:acc>
                      <m:accPr>
                        <m:ctrlPr>
                          <w:rPr>
                            <w:rFonts w:ascii="Cambria Math" w:hAnsi="Cambria Math"/>
                            <w:b/>
                            <w:i/>
                          </w:rPr>
                        </m:ctrlPr>
                      </m:accPr>
                      <m:e>
                        <m:r>
                          <m:rPr>
                            <m:sty m:val="bi"/>
                          </m:rPr>
                          <w:rPr>
                            <w:rFonts w:ascii="Cambria Math" w:hAnsi="Cambria Math"/>
                          </w:rPr>
                          <m:t>p</m:t>
                        </m:r>
                      </m:e>
                    </m:acc>
                  </m:oMath>
                  <w:r w:rsidR="003F68B7" w:rsidRPr="003E3BBD">
                    <w:rPr>
                      <w:b/>
                      <w:i/>
                      <w:vertAlign w:val="subscript"/>
                    </w:rPr>
                    <w:t>.</w:t>
                  </w:r>
                  <w:r w:rsidR="003F68B7">
                    <w:rPr>
                      <w:b/>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3E6F01" w14:textId="77777777" w:rsidR="003F68B7" w:rsidRPr="003E3BBD" w:rsidRDefault="003F68B7" w:rsidP="003F68B7">
                  <w:pPr>
                    <w:spacing w:after="0" w:line="259" w:lineRule="auto"/>
                    <w:ind w:right="29"/>
                    <w:jc w:val="center"/>
                    <w:rPr>
                      <w:i/>
                    </w:rPr>
                  </w:pPr>
                  <w:r w:rsidRPr="003E3BBD">
                    <w:rPr>
                      <w:i/>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354DF6" w14:textId="77777777" w:rsidR="003F68B7" w:rsidRPr="00D436CD" w:rsidRDefault="003F68B7" w:rsidP="003F68B7">
                  <w:pPr>
                    <w:spacing w:after="0" w:line="259" w:lineRule="auto"/>
                    <w:ind w:left="72" w:right="596"/>
                    <w:jc w:val="center"/>
                    <w:rPr>
                      <w:rFonts w:ascii="Cambria Math" w:hAnsi="Cambria Math"/>
                      <w:i/>
                      <w:szCs w:val="22"/>
                    </w:rPr>
                  </w:pPr>
                </w:p>
              </w:tc>
            </w:tr>
            <w:tr w:rsidR="003F68B7" w:rsidRPr="00D436CD" w14:paraId="6A9C85C2" w14:textId="77777777" w:rsidTr="003F68B7">
              <w:trPr>
                <w:cantSplit/>
                <w:trHeight w:val="511"/>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631C91" w14:textId="77777777" w:rsidR="003F68B7" w:rsidRPr="003E3BBD" w:rsidRDefault="003F68B7" w:rsidP="003F68B7">
                  <w:pPr>
                    <w:spacing w:after="125" w:line="259" w:lineRule="auto"/>
                    <w:ind w:right="43"/>
                    <w:jc w:val="center"/>
                  </w:pPr>
                  <w:r w:rsidRPr="003E3BBD">
                    <w:t>Producer’s accuracy (</w:t>
                  </w:r>
                  <w:r w:rsidRPr="003E3BBD">
                    <w:rPr>
                      <w:i/>
                    </w:rPr>
                    <w:t>P</w:t>
                  </w:r>
                  <w:r w:rsidRPr="003E3BBD">
                    <w:rPr>
                      <w:rFonts w:ascii="Cambria Math" w:hAnsi="Cambria Math"/>
                      <w:i/>
                      <w:vertAlign w:val="subscript"/>
                    </w:rPr>
                    <w:t>𝑖</w:t>
                  </w:r>
                  <w:r w:rsidRPr="003E3BB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4BD6B2" w14:textId="77777777" w:rsidR="003F68B7" w:rsidRPr="003E3BBD" w:rsidRDefault="006C409F" w:rsidP="003F68B7">
                  <w:pPr>
                    <w:spacing w:after="0" w:line="216" w:lineRule="auto"/>
                    <w:ind w:left="-114" w:right="-72"/>
                    <w:jc w:val="center"/>
                    <w:rPr>
                      <w:i/>
                    </w:rPr>
                  </w:pPr>
                  <m:oMath>
                    <m:acc>
                      <m:accPr>
                        <m:ctrlPr>
                          <w:rPr>
                            <w:rFonts w:ascii="Cambria Math" w:hAnsi="Cambria Math"/>
                            <w:i/>
                          </w:rPr>
                        </m:ctrlPr>
                      </m:accPr>
                      <m:e>
                        <m:r>
                          <w:rPr>
                            <w:rFonts w:ascii="Cambria Math" w:hAnsi="Cambria Math"/>
                          </w:rPr>
                          <m:t>p</m:t>
                        </m:r>
                      </m:e>
                    </m:acc>
                  </m:oMath>
                  <w:r w:rsidR="003F68B7" w:rsidRPr="003E3BBD">
                    <w:rPr>
                      <w:i/>
                      <w:vertAlign w:val="subscript"/>
                    </w:rPr>
                    <w:t>11</w:t>
                  </w:r>
                  <w:r w:rsidR="003F68B7" w:rsidRPr="003E3BBD">
                    <w:rPr>
                      <w:i/>
                    </w:rPr>
                    <w:t>/</w:t>
                  </w:r>
                  <m:oMath>
                    <m:acc>
                      <m:accPr>
                        <m:ctrlPr>
                          <w:rPr>
                            <w:rFonts w:ascii="Cambria Math" w:hAnsi="Cambria Math"/>
                            <w:i/>
                          </w:rPr>
                        </m:ctrlPr>
                      </m:accPr>
                      <m:e>
                        <m:r>
                          <w:rPr>
                            <w:rFonts w:ascii="Cambria Math" w:hAnsi="Cambria Math"/>
                          </w:rPr>
                          <m:t>p</m:t>
                        </m:r>
                      </m:e>
                    </m:acc>
                  </m:oMath>
                  <w:r w:rsidR="003F68B7" w:rsidRPr="003E3BBD">
                    <w:rPr>
                      <w:i/>
                      <w:vertAlign w:val="subscript"/>
                    </w:rPr>
                    <w:t>.1</w:t>
                  </w:r>
                </w:p>
              </w:tc>
              <w:tc>
                <w:tcPr>
                  <w:tcW w:w="0" w:type="auto"/>
                  <w:tcBorders>
                    <w:top w:val="single" w:sz="4" w:space="0" w:color="000000"/>
                    <w:left w:val="single" w:sz="4" w:space="0" w:color="000000"/>
                    <w:bottom w:val="single" w:sz="4" w:space="0" w:color="000000"/>
                    <w:right w:val="single" w:sz="4" w:space="0" w:color="000000"/>
                  </w:tcBorders>
                </w:tcPr>
                <w:p w14:paraId="0E78336C" w14:textId="77777777" w:rsidR="003F68B7" w:rsidRPr="003E3BBD" w:rsidRDefault="006C409F" w:rsidP="003F68B7">
                  <w:pPr>
                    <w:spacing w:after="0" w:line="259" w:lineRule="auto"/>
                    <w:ind w:left="22"/>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vertAlign w:val="subscript"/>
                          </w:rPr>
                          <m:t>22</m:t>
                        </m:r>
                      </m:sub>
                    </m:sSub>
                  </m:oMath>
                  <w:r w:rsidR="003F68B7" w:rsidRPr="003E3BBD">
                    <w:rPr>
                      <w:i/>
                    </w:rPr>
                    <w:t>/</w:t>
                  </w:r>
                  <m:oMath>
                    <m:acc>
                      <m:accPr>
                        <m:ctrlPr>
                          <w:rPr>
                            <w:rFonts w:ascii="Cambria Math" w:hAnsi="Cambria Math"/>
                            <w:i/>
                          </w:rPr>
                        </m:ctrlPr>
                      </m:accPr>
                      <m:e>
                        <m:r>
                          <w:rPr>
                            <w:rFonts w:ascii="Cambria Math" w:hAnsi="Cambria Math"/>
                          </w:rPr>
                          <m:t>p</m:t>
                        </m:r>
                      </m:e>
                    </m:acc>
                  </m:oMath>
                  <w:r w:rsidR="003F68B7" w:rsidRPr="003E3BBD">
                    <w:rPr>
                      <w:i/>
                      <w:vertAlign w:val="subscript"/>
                    </w:rPr>
                    <w:t>.</w:t>
                  </w:r>
                  <w:r w:rsidR="003F68B7">
                    <w:rPr>
                      <w:i/>
                      <w:vertAlign w:val="subscript"/>
                    </w:rPr>
                    <w:t>2</w:t>
                  </w:r>
                </w:p>
              </w:tc>
              <w:tc>
                <w:tcPr>
                  <w:tcW w:w="0" w:type="auto"/>
                  <w:tcBorders>
                    <w:top w:val="single" w:sz="4" w:space="0" w:color="000000"/>
                    <w:left w:val="single" w:sz="4" w:space="0" w:color="000000"/>
                    <w:bottom w:val="single" w:sz="4" w:space="0" w:color="000000"/>
                    <w:right w:val="single" w:sz="4" w:space="0" w:color="000000"/>
                  </w:tcBorders>
                </w:tcPr>
                <w:p w14:paraId="34597806" w14:textId="77777777" w:rsidR="003F68B7" w:rsidRPr="003E3BBD" w:rsidRDefault="006C409F" w:rsidP="003F68B7">
                  <w:pPr>
                    <w:spacing w:after="0" w:line="259" w:lineRule="auto"/>
                    <w:ind w:left="22"/>
                    <w:jc w:val="center"/>
                  </w:pPr>
                  <m:oMath>
                    <m:acc>
                      <m:accPr>
                        <m:ctrlPr>
                          <w:rPr>
                            <w:rFonts w:ascii="Cambria Math" w:hAnsi="Cambria Math"/>
                            <w:i/>
                          </w:rPr>
                        </m:ctrlPr>
                      </m:accPr>
                      <m:e>
                        <m:r>
                          <w:rPr>
                            <w:rFonts w:ascii="Cambria Math" w:hAnsi="Cambria Math"/>
                          </w:rPr>
                          <m:t>p</m:t>
                        </m:r>
                      </m:e>
                    </m:acc>
                  </m:oMath>
                  <w:r w:rsidR="003F68B7">
                    <w:rPr>
                      <w:i/>
                      <w:vertAlign w:val="subscript"/>
                    </w:rPr>
                    <w:t>33</w:t>
                  </w:r>
                  <w:r w:rsidR="003F68B7" w:rsidRPr="003E3BBD">
                    <w:rPr>
                      <w:i/>
                    </w:rPr>
                    <w:t>/</w:t>
                  </w:r>
                  <m:oMath>
                    <m:acc>
                      <m:accPr>
                        <m:ctrlPr>
                          <w:rPr>
                            <w:rFonts w:ascii="Cambria Math" w:hAnsi="Cambria Math"/>
                            <w:i/>
                          </w:rPr>
                        </m:ctrlPr>
                      </m:accPr>
                      <m:e>
                        <m:r>
                          <w:rPr>
                            <w:rFonts w:ascii="Cambria Math" w:hAnsi="Cambria Math"/>
                          </w:rPr>
                          <m:t>p</m:t>
                        </m:r>
                      </m:e>
                    </m:acc>
                  </m:oMath>
                  <w:r w:rsidR="003F68B7" w:rsidRPr="003E3BBD">
                    <w:rPr>
                      <w:i/>
                      <w:vertAlign w:val="subscript"/>
                    </w:rPr>
                    <w:t>.</w:t>
                  </w:r>
                  <w:r w:rsidR="003F68B7">
                    <w:rPr>
                      <w:i/>
                      <w:vertAlign w:val="subscript"/>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5E4416" w14:textId="77777777" w:rsidR="003F68B7" w:rsidRPr="003E3BBD" w:rsidRDefault="003F68B7" w:rsidP="003F68B7">
                  <w:pPr>
                    <w:spacing w:after="0" w:line="259" w:lineRule="auto"/>
                    <w:ind w:left="22"/>
                    <w:jc w:val="center"/>
                  </w:pPr>
                  <w:r w:rsidRPr="003E3BB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66EBE4" w14:textId="77777777" w:rsidR="003F68B7" w:rsidRPr="003E3BBD" w:rsidRDefault="003F68B7" w:rsidP="003F68B7">
                  <w:pPr>
                    <w:spacing w:after="126" w:line="360" w:lineRule="auto"/>
                    <w:ind w:left="72" w:right="12"/>
                  </w:pPr>
                  <w:r w:rsidRPr="003E3BBD">
                    <w:rPr>
                      <w:rFonts w:ascii="Cambria Math" w:hAnsi="Cambria Math"/>
                    </w:rPr>
                    <w:t>𝑂𝑣𝑒𝑟𝑎𝑙𝑙</w:t>
                  </w:r>
                  <w:r>
                    <w:rPr>
                      <w:rFonts w:ascii="Cambria Math" w:hAnsi="Cambria Math"/>
                    </w:rPr>
                    <w:t xml:space="preserve"> </w:t>
                  </w:r>
                  <w:r w:rsidRPr="003E3BBD">
                    <w:rPr>
                      <w:rFonts w:ascii="Cambria Math" w:hAnsi="Cambria Math"/>
                    </w:rPr>
                    <w:t>𝑎𝑐𝑐𝑢𝑟𝑎𝑐𝑦</w:t>
                  </w:r>
                  <w:r w:rsidRPr="003E3BBD">
                    <w:t xml:space="preserve"> (</w:t>
                  </w:r>
                  <w:proofErr w:type="gramStart"/>
                  <w:r w:rsidRPr="003E3BBD">
                    <w:rPr>
                      <w:i/>
                    </w:rPr>
                    <w:t xml:space="preserve">Ô </w:t>
                  </w:r>
                  <w:r w:rsidRPr="003E3BBD">
                    <w:t>)</w:t>
                  </w:r>
                  <w:proofErr w:type="gramEnd"/>
                </w:p>
                <w:p w14:paraId="557452E2" w14:textId="77777777" w:rsidR="003F68B7" w:rsidRPr="003E3BBD" w:rsidRDefault="003F68B7" w:rsidP="003F68B7">
                  <w:pPr>
                    <w:spacing w:after="0" w:line="360" w:lineRule="auto"/>
                    <w:ind w:left="72" w:right="596"/>
                    <w:jc w:val="center"/>
                  </w:pPr>
                  <w:r w:rsidRPr="003E3BBD">
                    <w:t xml:space="preserve">= </w:t>
                  </w:r>
                  <m:oMath>
                    <m:acc>
                      <m:accPr>
                        <m:ctrlPr>
                          <w:rPr>
                            <w:rFonts w:ascii="Cambria Math" w:hAnsi="Cambria Math"/>
                            <w:i/>
                          </w:rPr>
                        </m:ctrlPr>
                      </m:accPr>
                      <m:e>
                        <m:r>
                          <w:rPr>
                            <w:rFonts w:ascii="Cambria Math" w:hAnsi="Cambria Math"/>
                          </w:rPr>
                          <m:t>p</m:t>
                        </m:r>
                      </m:e>
                    </m:acc>
                  </m:oMath>
                  <w:r w:rsidRPr="003E3BBD">
                    <w:rPr>
                      <w:i/>
                      <w:vertAlign w:val="subscript"/>
                    </w:rPr>
                    <w:t>11</w:t>
                  </w:r>
                  <w:r w:rsidRPr="003E3BBD">
                    <w:rPr>
                      <w:i/>
                    </w:rPr>
                    <w:t xml:space="preserve"> + </w:t>
                  </w:r>
                  <m:oMath>
                    <m:acc>
                      <m:accPr>
                        <m:ctrlPr>
                          <w:rPr>
                            <w:rFonts w:ascii="Cambria Math" w:hAnsi="Cambria Math"/>
                            <w:i/>
                          </w:rPr>
                        </m:ctrlPr>
                      </m:accPr>
                      <m:e>
                        <m:r>
                          <w:rPr>
                            <w:rFonts w:ascii="Cambria Math" w:hAnsi="Cambria Math"/>
                          </w:rPr>
                          <m:t>p</m:t>
                        </m:r>
                      </m:e>
                    </m:acc>
                  </m:oMath>
                  <w:r w:rsidRPr="003E3BBD">
                    <w:rPr>
                      <w:i/>
                      <w:vertAlign w:val="subscript"/>
                    </w:rPr>
                    <w:t>22</w:t>
                  </w:r>
                  <w:r w:rsidRPr="003E3BBD">
                    <w:rPr>
                      <w:i/>
                    </w:rPr>
                    <w:t xml:space="preserve"> + </w:t>
                  </w:r>
                  <m:oMath>
                    <m:acc>
                      <m:accPr>
                        <m:ctrlPr>
                          <w:rPr>
                            <w:rFonts w:ascii="Cambria Math" w:hAnsi="Cambria Math"/>
                            <w:i/>
                          </w:rPr>
                        </m:ctrlPr>
                      </m:accPr>
                      <m:e>
                        <m:r>
                          <w:rPr>
                            <w:rFonts w:ascii="Cambria Math" w:hAnsi="Cambria Math"/>
                          </w:rPr>
                          <m:t>p</m:t>
                        </m:r>
                      </m:e>
                    </m:acc>
                  </m:oMath>
                  <w:r w:rsidRPr="003E3BBD">
                    <w:rPr>
                      <w:i/>
                      <w:vertAlign w:val="subscript"/>
                    </w:rPr>
                    <w:t>33</w:t>
                  </w:r>
                </w:p>
              </w:tc>
            </w:tr>
          </w:tbl>
          <w:p w14:paraId="30891591" w14:textId="77777777" w:rsidR="003F68B7" w:rsidRPr="007E164F" w:rsidRDefault="003F68B7" w:rsidP="00F71128">
            <w:pPr>
              <w:rPr>
                <w:b/>
                <w:sz w:val="18"/>
                <w:szCs w:val="18"/>
                <w:lang w:val="en-US"/>
              </w:rPr>
            </w:pPr>
          </w:p>
          <w:p w14:paraId="174FD120" w14:textId="77777777" w:rsidR="00F71128" w:rsidRPr="0063046A" w:rsidRDefault="00F71128" w:rsidP="00F71128"/>
        </w:tc>
      </w:tr>
      <w:tr w:rsidR="001D5282" w:rsidRPr="000E62B7" w14:paraId="6290B616" w14:textId="77777777" w:rsidTr="003F68B7">
        <w:trPr>
          <w:trHeight w:val="432"/>
        </w:trPr>
        <w:tc>
          <w:tcPr>
            <w:tcW w:w="903" w:type="pct"/>
            <w:tcBorders>
              <w:bottom w:val="single" w:sz="4" w:space="0" w:color="auto"/>
            </w:tcBorders>
            <w:shd w:val="clear" w:color="auto" w:fill="E0E0E0"/>
          </w:tcPr>
          <w:p w14:paraId="77CC8364" w14:textId="470CF690" w:rsidR="001D5282" w:rsidRDefault="001D5282" w:rsidP="001D5282">
            <w:pPr>
              <w:pStyle w:val="NormalBold"/>
            </w:pPr>
            <w:r w:rsidRPr="00992B0B">
              <w:lastRenderedPageBreak/>
              <w:t>Estimating areas and their uncertainty</w:t>
            </w:r>
          </w:p>
        </w:tc>
        <w:tc>
          <w:tcPr>
            <w:tcW w:w="4097" w:type="pct"/>
            <w:tcBorders>
              <w:bottom w:val="single" w:sz="4" w:space="0" w:color="auto"/>
            </w:tcBorders>
            <w:vAlign w:val="center"/>
          </w:tcPr>
          <w:p w14:paraId="5BF06145" w14:textId="7AE03D20" w:rsidR="001D5282" w:rsidRPr="009C56FC" w:rsidRDefault="001D5282" w:rsidP="001D5282">
            <w:pPr>
              <w:rPr>
                <w:rFonts w:eastAsia="Cambria Math" w:cs="Arial"/>
                <w:szCs w:val="20"/>
              </w:rPr>
            </w:pPr>
            <w:r>
              <w:t>The mean estimator for the area of each class can be directly obtained from Table SOP</w:t>
            </w:r>
            <w:r w:rsidR="003826A8">
              <w:t>4</w:t>
            </w:r>
            <w:r>
              <w:t>.2. While one would be tempted to use map class area proportions (</w:t>
            </w:r>
            <m:oMath>
              <m:acc>
                <m:accPr>
                  <m:ctrlPr>
                    <w:rPr>
                      <w:rFonts w:ascii="Cambria Math" w:eastAsia="Cambria Math" w:hAnsi="Cambria Math" w:cs="Cambria Math"/>
                      <w:i/>
                      <w:sz w:val="18"/>
                      <w:szCs w:val="18"/>
                    </w:rPr>
                  </m:ctrlPr>
                </m:accPr>
                <m:e>
                  <m:r>
                    <w:rPr>
                      <w:rFonts w:ascii="Cambria Math" w:eastAsia="Cambria Math" w:hAnsi="Cambria Math" w:cs="Cambria Math"/>
                      <w:sz w:val="18"/>
                      <w:szCs w:val="18"/>
                    </w:rPr>
                    <m:t>p</m:t>
                  </m:r>
                </m:e>
              </m:acc>
            </m:oMath>
            <w:r>
              <w:rPr>
                <w:rFonts w:ascii="Cambria Math" w:eastAsia="Cambria Math" w:hAnsi="Cambria Math" w:cs="Arial"/>
                <w:i/>
                <w:sz w:val="18"/>
                <w:szCs w:val="18"/>
                <w:vertAlign w:val="subscript"/>
              </w:rPr>
              <w:t>h</w:t>
            </w:r>
            <w:r w:rsidRPr="009B4A8A">
              <w:rPr>
                <w:rFonts w:ascii="Cambria Math" w:eastAsia="Cambria Math" w:hAnsi="Cambria Math" w:cs="Arial"/>
                <w:i/>
                <w:sz w:val="18"/>
                <w:szCs w:val="18"/>
                <w:vertAlign w:val="subscript"/>
              </w:rPr>
              <w:t>.</w:t>
            </w:r>
            <w:r>
              <w:t>), unbiased stratified estimators are provided using reference class area proportions (</w:t>
            </w:r>
            <m:oMath>
              <m:acc>
                <m:accPr>
                  <m:ctrlPr>
                    <w:rPr>
                      <w:rFonts w:ascii="Cambria Math" w:eastAsia="Cambria Math" w:hAnsi="Cambria Math" w:cs="Cambria Math"/>
                      <w:i/>
                      <w:sz w:val="18"/>
                      <w:szCs w:val="18"/>
                    </w:rPr>
                  </m:ctrlPr>
                </m:accPr>
                <m:e>
                  <m:r>
                    <w:rPr>
                      <w:rFonts w:ascii="Cambria Math" w:eastAsia="Cambria Math" w:hAnsi="Cambria Math" w:cs="Cambria Math"/>
                      <w:sz w:val="18"/>
                      <w:szCs w:val="18"/>
                    </w:rPr>
                    <m:t>p</m:t>
                  </m:r>
                </m:e>
              </m:acc>
            </m:oMath>
            <w:r w:rsidRPr="009B4A8A">
              <w:rPr>
                <w:rFonts w:ascii="Cambria Math" w:eastAsia="Cambria Math" w:hAnsi="Cambria Math" w:cs="Arial"/>
                <w:i/>
                <w:sz w:val="18"/>
                <w:szCs w:val="18"/>
                <w:vertAlign w:val="subscript"/>
              </w:rPr>
              <w:t>.</w:t>
            </w:r>
            <w:r>
              <w:rPr>
                <w:rFonts w:ascii="Cambria Math" w:eastAsia="Cambria Math" w:hAnsi="Cambria Math" w:cs="Arial"/>
                <w:i/>
                <w:sz w:val="18"/>
                <w:szCs w:val="18"/>
                <w:vertAlign w:val="subscript"/>
              </w:rPr>
              <w:t>j</w:t>
            </w:r>
            <w:r w:rsidRPr="009C56FC">
              <w:rPr>
                <w:rFonts w:ascii="Cambria Math" w:eastAsia="Cambria Math" w:hAnsi="Cambria Math" w:cs="Arial"/>
                <w:szCs w:val="20"/>
              </w:rPr>
              <w:t>)</w:t>
            </w:r>
            <w:r w:rsidRPr="009C56FC">
              <w:rPr>
                <w:rFonts w:eastAsia="Cambria Math" w:cs="Arial"/>
                <w:szCs w:val="20"/>
              </w:rPr>
              <w:t>.</w:t>
            </w:r>
            <w:r w:rsidRPr="009C56FC">
              <w:rPr>
                <w:rFonts w:ascii="Cambria Math" w:eastAsia="Cambria Math" w:hAnsi="Cambria Math" w:cs="Arial"/>
                <w:szCs w:val="20"/>
              </w:rPr>
              <w:t xml:space="preserve"> </w:t>
            </w:r>
            <w:r w:rsidRPr="009C56FC">
              <w:rPr>
                <w:rFonts w:eastAsia="Cambria Math" w:cs="Arial"/>
                <w:szCs w:val="20"/>
              </w:rPr>
              <w:t>As implied in Table SOP</w:t>
            </w:r>
            <w:r w:rsidR="003826A8">
              <w:rPr>
                <w:rFonts w:eastAsia="Cambria Math" w:cs="Arial"/>
                <w:szCs w:val="20"/>
              </w:rPr>
              <w:t>4</w:t>
            </w:r>
            <w:r w:rsidRPr="009C56FC">
              <w:rPr>
                <w:rFonts w:eastAsia="Cambria Math" w:cs="Arial"/>
                <w:szCs w:val="20"/>
              </w:rPr>
              <w:t xml:space="preserve">.2, </w:t>
            </w:r>
            <w:proofErr w:type="gramStart"/>
            <w:r w:rsidRPr="009C56FC">
              <w:rPr>
                <w:rFonts w:eastAsia="Cambria Math" w:cs="Arial"/>
                <w:szCs w:val="20"/>
              </w:rPr>
              <w:t>these follow</w:t>
            </w:r>
            <w:proofErr w:type="gramEnd"/>
            <w:r w:rsidRPr="009C56FC">
              <w:rPr>
                <w:rFonts w:eastAsia="Cambria Math" w:cs="Arial"/>
                <w:szCs w:val="20"/>
              </w:rPr>
              <w:t>:</w:t>
            </w:r>
          </w:p>
          <w:p w14:paraId="2FD075ED" w14:textId="77777777" w:rsidR="001D5282" w:rsidRPr="009C56FC" w:rsidRDefault="006C409F" w:rsidP="001D5282">
            <w:pPr>
              <w:rPr>
                <w:szCs w:val="20"/>
                <w:lang w:val="en-US"/>
              </w:rPr>
            </w:pPr>
            <m:oMathPara>
              <m:oMath>
                <m:sSub>
                  <m:sSubPr>
                    <m:ctrlPr>
                      <w:rPr>
                        <w:rFonts w:ascii="Cambria Math" w:hAnsi="Cambria Math"/>
                        <w:i/>
                        <w:szCs w:val="20"/>
                        <w:lang w:val="en-US"/>
                      </w:rPr>
                    </m:ctrlPr>
                  </m:sSubPr>
                  <m:e>
                    <m:acc>
                      <m:accPr>
                        <m:ctrlPr>
                          <w:rPr>
                            <w:rFonts w:ascii="Cambria Math" w:hAnsi="Cambria Math"/>
                            <w:i/>
                            <w:szCs w:val="20"/>
                            <w:lang w:val="en-US"/>
                          </w:rPr>
                        </m:ctrlPr>
                      </m:accPr>
                      <m:e>
                        <m:r>
                          <w:rPr>
                            <w:rFonts w:ascii="Cambria Math" w:hAnsi="Cambria Math"/>
                            <w:szCs w:val="20"/>
                            <w:lang w:val="en-US"/>
                          </w:rPr>
                          <m:t>p</m:t>
                        </m:r>
                      </m:e>
                    </m:acc>
                  </m:e>
                  <m:sub>
                    <m:r>
                      <w:rPr>
                        <w:rFonts w:ascii="Cambria Math" w:hAnsi="Cambria Math"/>
                        <w:szCs w:val="20"/>
                        <w:lang w:val="en-US"/>
                      </w:rPr>
                      <m:t>∙j</m:t>
                    </m:r>
                  </m:sub>
                </m:sSub>
                <m:r>
                  <w:rPr>
                    <w:rFonts w:ascii="Cambria Math" w:hAnsi="Cambria Math"/>
                    <w:szCs w:val="20"/>
                    <w:lang w:val="en-US"/>
                  </w:rPr>
                  <m:t>=</m:t>
                </m:r>
                <m:nary>
                  <m:naryPr>
                    <m:chr m:val="∑"/>
                    <m:limLoc m:val="subSup"/>
                    <m:ctrlPr>
                      <w:rPr>
                        <w:rFonts w:ascii="Cambria Math" w:hAnsi="Cambria Math"/>
                        <w:i/>
                        <w:szCs w:val="20"/>
                        <w:lang w:val="en-US"/>
                      </w:rPr>
                    </m:ctrlPr>
                  </m:naryPr>
                  <m:sub>
                    <m:r>
                      <w:rPr>
                        <w:rFonts w:ascii="Cambria Math" w:hAnsi="Cambria Math"/>
                        <w:szCs w:val="20"/>
                        <w:lang w:val="en-US"/>
                      </w:rPr>
                      <m:t>h=</m:t>
                    </m:r>
                    <m:r>
                      <w:rPr>
                        <w:rFonts w:ascii="Cambria Math" w:hAnsi="Cambria Math"/>
                        <w:szCs w:val="20"/>
                        <w:lang w:val="en-US"/>
                      </w:rPr>
                      <m:t>1</m:t>
                    </m:r>
                  </m:sub>
                  <m:sup>
                    <m:r>
                      <w:rPr>
                        <w:rFonts w:ascii="Cambria Math" w:hAnsi="Cambria Math"/>
                        <w:szCs w:val="20"/>
                        <w:lang w:val="en-US"/>
                      </w:rPr>
                      <m:t>H</m:t>
                    </m:r>
                  </m:sup>
                  <m:e>
                    <m:sSub>
                      <m:sSubPr>
                        <m:ctrlPr>
                          <w:rPr>
                            <w:rFonts w:ascii="Cambria Math" w:hAnsi="Cambria Math"/>
                            <w:i/>
                            <w:szCs w:val="20"/>
                            <w:lang w:val="en-US"/>
                          </w:rPr>
                        </m:ctrlPr>
                      </m:sSubPr>
                      <m:e>
                        <m:r>
                          <w:rPr>
                            <w:rFonts w:ascii="Cambria Math" w:hAnsi="Cambria Math"/>
                            <w:szCs w:val="20"/>
                            <w:lang w:val="en-US"/>
                          </w:rPr>
                          <m:t>w</m:t>
                        </m:r>
                      </m:e>
                      <m:sub>
                        <m:r>
                          <w:rPr>
                            <w:rFonts w:ascii="Cambria Math" w:hAnsi="Cambria Math"/>
                            <w:szCs w:val="20"/>
                            <w:lang w:val="en-US"/>
                          </w:rPr>
                          <m:t>h</m:t>
                        </m:r>
                      </m:sub>
                    </m:sSub>
                    <m:r>
                      <w:rPr>
                        <w:rFonts w:ascii="Cambria Math" w:hAnsi="Cambria Math"/>
                        <w:szCs w:val="20"/>
                        <w:lang w:val="en-US"/>
                      </w:rPr>
                      <m:t xml:space="preserve">∙ </m:t>
                    </m:r>
                    <m:f>
                      <m:fPr>
                        <m:ctrlPr>
                          <w:rPr>
                            <w:rFonts w:ascii="Cambria Math" w:hAnsi="Cambria Math"/>
                            <w:i/>
                            <w:szCs w:val="20"/>
                            <w:lang w:val="en-US"/>
                          </w:rPr>
                        </m:ctrlPr>
                      </m:fPr>
                      <m:num>
                        <m:sSub>
                          <m:sSubPr>
                            <m:ctrlPr>
                              <w:rPr>
                                <w:rFonts w:ascii="Cambria Math" w:hAnsi="Cambria Math"/>
                                <w:i/>
                                <w:szCs w:val="20"/>
                                <w:lang w:val="en-US"/>
                              </w:rPr>
                            </m:ctrlPr>
                          </m:sSubPr>
                          <m:e>
                            <m:r>
                              <w:rPr>
                                <w:rFonts w:ascii="Cambria Math" w:hAnsi="Cambria Math"/>
                                <w:szCs w:val="20"/>
                                <w:lang w:val="en-US"/>
                              </w:rPr>
                              <m:t>n</m:t>
                            </m:r>
                          </m:e>
                          <m:sub>
                            <m:r>
                              <w:rPr>
                                <w:rFonts w:ascii="Cambria Math" w:hAnsi="Cambria Math"/>
                                <w:szCs w:val="20"/>
                                <w:lang w:val="en-US"/>
                              </w:rPr>
                              <m:t>hj</m:t>
                            </m:r>
                          </m:sub>
                        </m:sSub>
                      </m:num>
                      <m:den>
                        <m:sSub>
                          <m:sSubPr>
                            <m:ctrlPr>
                              <w:rPr>
                                <w:rFonts w:ascii="Cambria Math" w:hAnsi="Cambria Math"/>
                                <w:i/>
                                <w:szCs w:val="20"/>
                                <w:lang w:val="en-US"/>
                              </w:rPr>
                            </m:ctrlPr>
                          </m:sSubPr>
                          <m:e>
                            <m:r>
                              <w:rPr>
                                <w:rFonts w:ascii="Cambria Math" w:hAnsi="Cambria Math"/>
                                <w:szCs w:val="20"/>
                                <w:lang w:val="en-US"/>
                              </w:rPr>
                              <m:t>n</m:t>
                            </m:r>
                          </m:e>
                          <m:sub>
                            <m:r>
                              <w:rPr>
                                <w:rFonts w:ascii="Cambria Math" w:hAnsi="Cambria Math"/>
                                <w:szCs w:val="20"/>
                                <w:lang w:val="en-US"/>
                              </w:rPr>
                              <m:t>h∙</m:t>
                            </m:r>
                          </m:sub>
                        </m:sSub>
                      </m:den>
                    </m:f>
                  </m:e>
                </m:nary>
                <m:r>
                  <w:rPr>
                    <w:rFonts w:ascii="Cambria Math" w:hAnsi="Cambria Math"/>
                    <w:szCs w:val="20"/>
                    <w:lang w:val="en-US"/>
                  </w:rPr>
                  <m:t>=</m:t>
                </m:r>
                <m:nary>
                  <m:naryPr>
                    <m:chr m:val="∑"/>
                    <m:limLoc m:val="subSup"/>
                    <m:ctrlPr>
                      <w:rPr>
                        <w:rFonts w:ascii="Cambria Math" w:hAnsi="Cambria Math"/>
                        <w:i/>
                        <w:szCs w:val="20"/>
                        <w:lang w:val="en-US"/>
                      </w:rPr>
                    </m:ctrlPr>
                  </m:naryPr>
                  <m:sub>
                    <m:r>
                      <w:rPr>
                        <w:rFonts w:ascii="Cambria Math" w:hAnsi="Cambria Math"/>
                        <w:szCs w:val="20"/>
                        <w:lang w:val="en-US"/>
                      </w:rPr>
                      <m:t>h=</m:t>
                    </m:r>
                    <m:r>
                      <w:rPr>
                        <w:rFonts w:ascii="Cambria Math" w:hAnsi="Cambria Math"/>
                        <w:szCs w:val="20"/>
                        <w:lang w:val="en-US"/>
                      </w:rPr>
                      <m:t>1</m:t>
                    </m:r>
                  </m:sub>
                  <m:sup>
                    <m:r>
                      <w:rPr>
                        <w:rFonts w:ascii="Cambria Math" w:hAnsi="Cambria Math"/>
                        <w:szCs w:val="20"/>
                        <w:lang w:val="en-US"/>
                      </w:rPr>
                      <m:t>H</m:t>
                    </m:r>
                  </m:sup>
                  <m:e>
                    <m:sSub>
                      <m:sSubPr>
                        <m:ctrlPr>
                          <w:rPr>
                            <w:rFonts w:ascii="Cambria Math" w:hAnsi="Cambria Math"/>
                            <w:i/>
                            <w:szCs w:val="20"/>
                            <w:lang w:val="en-US"/>
                          </w:rPr>
                        </m:ctrlPr>
                      </m:sSubPr>
                      <m:e>
                        <m:acc>
                          <m:accPr>
                            <m:ctrlPr>
                              <w:rPr>
                                <w:rFonts w:ascii="Cambria Math" w:eastAsia="Cambria Math" w:hAnsi="Cambria Math" w:cs="Cambria Math"/>
                                <w:i/>
                                <w:sz w:val="18"/>
                                <w:szCs w:val="18"/>
                              </w:rPr>
                            </m:ctrlPr>
                          </m:accPr>
                          <m:e>
                            <m:r>
                              <w:rPr>
                                <w:rFonts w:ascii="Cambria Math" w:eastAsia="Cambria Math" w:hAnsi="Cambria Math" w:cs="Cambria Math"/>
                                <w:sz w:val="18"/>
                                <w:szCs w:val="18"/>
                              </w:rPr>
                              <m:t>p</m:t>
                            </m:r>
                          </m:e>
                        </m:acc>
                      </m:e>
                      <m:sub>
                        <m:r>
                          <w:rPr>
                            <w:rFonts w:ascii="Cambria Math" w:hAnsi="Cambria Math"/>
                            <w:szCs w:val="20"/>
                            <w:lang w:val="en-US"/>
                          </w:rPr>
                          <m:t>hj</m:t>
                        </m:r>
                      </m:sub>
                    </m:sSub>
                  </m:e>
                </m:nary>
              </m:oMath>
            </m:oMathPara>
          </w:p>
          <w:p w14:paraId="6B48C11D" w14:textId="0DC08038" w:rsidR="001D5282" w:rsidRDefault="001D5282" w:rsidP="001D5282">
            <w:r>
              <w:t xml:space="preserve">colored as </w:t>
            </w:r>
            <w:r w:rsidRPr="00D36A56">
              <w:rPr>
                <w:shd w:val="clear" w:color="auto" w:fill="ED7D31" w:themeFill="accent2"/>
              </w:rPr>
              <w:t>orange</w:t>
            </w:r>
            <w:r>
              <w:t xml:space="preserve"> in Table</w:t>
            </w:r>
            <w:r w:rsidR="00945FE8">
              <w:t xml:space="preserve"> </w:t>
            </w:r>
            <w:r>
              <w:t>2.</w:t>
            </w:r>
          </w:p>
          <w:p w14:paraId="61256254" w14:textId="77777777" w:rsidR="001D5282" w:rsidRDefault="001D5282" w:rsidP="001D5282">
            <w:r>
              <w:t xml:space="preserve">Once the estimated reference class area proportions are obtained, the mean total area per class is calculated by multiplying them with the total reporting area </w:t>
            </w:r>
            <w:r w:rsidRPr="009C56FC">
              <w:rPr>
                <w:rFonts w:ascii="Cambria Math" w:hAnsi="Cambria Math"/>
                <w:i/>
              </w:rPr>
              <w:t>a</w:t>
            </w:r>
            <w:r>
              <w:t>:</w:t>
            </w:r>
          </w:p>
          <w:p w14:paraId="723A26D3" w14:textId="77777777" w:rsidR="001D5282" w:rsidRPr="00267EFF" w:rsidRDefault="006C409F" w:rsidP="001D5282">
            <w:pPr>
              <w:rPr>
                <w:szCs w:val="20"/>
                <w:lang w:val="en-US"/>
              </w:rPr>
            </w:pPr>
            <m:oMathPara>
              <m:oMath>
                <m:sSub>
                  <m:sSubPr>
                    <m:ctrlPr>
                      <w:rPr>
                        <w:rFonts w:ascii="Cambria Math" w:hAnsi="Cambria Math"/>
                        <w:i/>
                        <w:szCs w:val="20"/>
                        <w:lang w:val="en-US"/>
                      </w:rPr>
                    </m:ctrlPr>
                  </m:sSubPr>
                  <m:e>
                    <m:acc>
                      <m:accPr>
                        <m:ctrlPr>
                          <w:rPr>
                            <w:rFonts w:ascii="Cambria Math" w:hAnsi="Cambria Math"/>
                            <w:i/>
                            <w:szCs w:val="20"/>
                            <w:lang w:val="en-US"/>
                          </w:rPr>
                        </m:ctrlPr>
                      </m:accPr>
                      <m:e>
                        <m:r>
                          <w:rPr>
                            <w:rFonts w:ascii="Cambria Math" w:hAnsi="Cambria Math"/>
                            <w:szCs w:val="20"/>
                            <w:lang w:val="en-US"/>
                          </w:rPr>
                          <m:t>A</m:t>
                        </m:r>
                      </m:e>
                    </m:acc>
                  </m:e>
                  <m:sub>
                    <m:r>
                      <w:rPr>
                        <w:rFonts w:ascii="Cambria Math" w:hAnsi="Cambria Math"/>
                        <w:szCs w:val="20"/>
                        <w:lang w:val="en-US"/>
                      </w:rPr>
                      <m:t>j</m:t>
                    </m:r>
                  </m:sub>
                </m:sSub>
                <m:r>
                  <w:rPr>
                    <w:rFonts w:ascii="Cambria Math" w:hAnsi="Cambria Math"/>
                    <w:szCs w:val="20"/>
                    <w:lang w:val="en-US"/>
                  </w:rPr>
                  <m:t>=</m:t>
                </m:r>
                <m:sSub>
                  <m:sSubPr>
                    <m:ctrlPr>
                      <w:rPr>
                        <w:rFonts w:ascii="Cambria Math" w:hAnsi="Cambria Math"/>
                        <w:i/>
                        <w:szCs w:val="20"/>
                        <w:lang w:val="en-US"/>
                      </w:rPr>
                    </m:ctrlPr>
                  </m:sSubPr>
                  <m:e>
                    <m:acc>
                      <m:accPr>
                        <m:ctrlPr>
                          <w:rPr>
                            <w:rFonts w:ascii="Cambria Math" w:hAnsi="Cambria Math"/>
                            <w:i/>
                            <w:szCs w:val="20"/>
                            <w:lang w:val="en-US"/>
                          </w:rPr>
                        </m:ctrlPr>
                      </m:accPr>
                      <m:e>
                        <m:r>
                          <w:rPr>
                            <w:rFonts w:ascii="Cambria Math" w:hAnsi="Cambria Math"/>
                            <w:szCs w:val="20"/>
                            <w:lang w:val="en-US"/>
                          </w:rPr>
                          <m:t>p</m:t>
                        </m:r>
                      </m:e>
                    </m:acc>
                  </m:e>
                  <m:sub>
                    <m:r>
                      <w:rPr>
                        <w:rFonts w:ascii="Cambria Math" w:hAnsi="Cambria Math"/>
                        <w:szCs w:val="20"/>
                        <w:lang w:val="en-US"/>
                      </w:rPr>
                      <m:t>∙j</m:t>
                    </m:r>
                  </m:sub>
                </m:sSub>
                <m:r>
                  <w:rPr>
                    <w:rFonts w:ascii="Cambria Math" w:hAnsi="Cambria Math"/>
                    <w:szCs w:val="20"/>
                    <w:lang w:val="en-US"/>
                  </w:rPr>
                  <m:t>∙a</m:t>
                </m:r>
              </m:oMath>
            </m:oMathPara>
          </w:p>
          <w:p w14:paraId="3EBAAD9C" w14:textId="77777777" w:rsidR="00706213" w:rsidRDefault="00706213" w:rsidP="00706213">
            <w:pPr>
              <w:rPr>
                <w:lang w:eastAsia="en-GB"/>
              </w:rPr>
            </w:pPr>
            <w:r w:rsidRPr="0040597D">
              <w:rPr>
                <w:lang w:eastAsia="en-GB"/>
              </w:rPr>
              <w:t xml:space="preserve">Uncertainties in activity data were derived using non-parametric bootstrapping, where reference data points were re-sampled with replacement 100,000 times. For each permutation of reference data points, the bias-corrected area estimates were produced following the methods described in </w:t>
            </w:r>
            <w:r w:rsidRPr="0040597D">
              <w:t>Olofsson et al. (2014).</w:t>
            </w:r>
            <w:r w:rsidRPr="0040597D">
              <w:rPr>
                <w:lang w:eastAsia="en-GB"/>
              </w:rPr>
              <w:t xml:space="preserve"> Uncertainty was estimated from the resulting distribution of area estimates. </w:t>
            </w:r>
          </w:p>
          <w:p w14:paraId="00BB25AF" w14:textId="35956118" w:rsidR="00706213" w:rsidRPr="0040597D" w:rsidRDefault="00706213" w:rsidP="00706213">
            <w:pPr>
              <w:rPr>
                <w:color w:val="000000"/>
                <w:lang w:eastAsia="en-GB"/>
              </w:rPr>
            </w:pPr>
            <w:r w:rsidRPr="0040597D">
              <w:rPr>
                <w:lang w:eastAsia="en-GB"/>
              </w:rPr>
              <w:t xml:space="preserve">Although more complex to implement, bootstrapping has the advantages of not requiring any assumption about the shape of the probability distribution function of each land cover </w:t>
            </w:r>
            <w:r w:rsidRPr="0040597D">
              <w:rPr>
                <w:lang w:eastAsia="en-GB"/>
              </w:rPr>
              <w:lastRenderedPageBreak/>
              <w:t xml:space="preserve">transition </w:t>
            </w:r>
            <w:proofErr w:type="gramStart"/>
            <w:r w:rsidRPr="0040597D">
              <w:rPr>
                <w:lang w:eastAsia="en-GB"/>
              </w:rPr>
              <w:t>class, and</w:t>
            </w:r>
            <w:proofErr w:type="gramEnd"/>
            <w:r w:rsidRPr="0040597D">
              <w:rPr>
                <w:lang w:eastAsia="en-GB"/>
              </w:rPr>
              <w:t xml:space="preserve"> avoids the generation of negative areas in rare classes where a probability distribution function crosses zero. </w:t>
            </w:r>
            <w:r w:rsidRPr="0040597D">
              <w:rPr>
                <w:iCs/>
                <w:lang w:eastAsia="en-GB"/>
              </w:rPr>
              <w:t>The method was implemented in R, and the scripts used are available in the “</w:t>
            </w:r>
            <w:r w:rsidRPr="0040597D">
              <w:rPr>
                <w:i/>
                <w:iCs/>
                <w:lang w:eastAsia="en-GB"/>
              </w:rPr>
              <w:t>Mozambique ERPA 2018</w:t>
            </w:r>
            <w:r w:rsidRPr="0040597D">
              <w:rPr>
                <w:iCs/>
                <w:lang w:eastAsia="en-GB"/>
              </w:rPr>
              <w:t>” shared folder.</w:t>
            </w:r>
          </w:p>
          <w:p w14:paraId="1762AD3E" w14:textId="77777777" w:rsidR="00706213" w:rsidRPr="0040597D" w:rsidRDefault="00706213" w:rsidP="00706213">
            <w:pPr>
              <w:rPr>
                <w:color w:val="000000"/>
                <w:lang w:eastAsia="en-GB"/>
              </w:rPr>
            </w:pPr>
            <w:r w:rsidRPr="0040597D">
              <w:rPr>
                <w:lang w:eastAsia="en-GB"/>
              </w:rPr>
              <w:t xml:space="preserve">The impact of using non-parametric bootstrapping to estimate uncertainties vs other methods was tested with a comparison of deforested areas derived from bootstrapping against sampling from a normal distribution with standard error calculated with the methods described in Olofsson </w:t>
            </w:r>
            <w:r w:rsidRPr="0040597D">
              <w:rPr>
                <w:i/>
                <w:iCs/>
                <w:lang w:eastAsia="en-GB"/>
              </w:rPr>
              <w:t>et al</w:t>
            </w:r>
            <w:r w:rsidRPr="0040597D">
              <w:rPr>
                <w:lang w:eastAsia="en-GB"/>
              </w:rPr>
              <w:t>. (2014). For the latter case two uncertainties were derived: one retaining any negative area estimates for rare transition classes, and another setting these to zero.</w:t>
            </w:r>
            <w:r w:rsidRPr="0040597D">
              <w:rPr>
                <w:sz w:val="21"/>
                <w:szCs w:val="21"/>
                <w:lang w:eastAsia="en-GB"/>
              </w:rPr>
              <w:t xml:space="preserve"> The result (</w:t>
            </w:r>
            <w:r w:rsidRPr="0040597D">
              <w:rPr>
                <w:sz w:val="21"/>
                <w:szCs w:val="21"/>
                <w:lang w:eastAsia="en-GB"/>
              </w:rPr>
              <w:fldChar w:fldCharType="begin"/>
            </w:r>
            <w:r w:rsidRPr="0040597D">
              <w:rPr>
                <w:sz w:val="21"/>
                <w:szCs w:val="21"/>
                <w:lang w:eastAsia="en-GB"/>
              </w:rPr>
              <w:instrText xml:space="preserve"> REF _Ref46996845 \h </w:instrText>
            </w:r>
            <w:r>
              <w:rPr>
                <w:sz w:val="21"/>
                <w:szCs w:val="21"/>
                <w:lang w:eastAsia="en-GB"/>
              </w:rPr>
              <w:instrText xml:space="preserve"> \* MERGEFORMAT </w:instrText>
            </w:r>
            <w:r w:rsidRPr="0040597D">
              <w:rPr>
                <w:sz w:val="21"/>
                <w:szCs w:val="21"/>
                <w:lang w:eastAsia="en-GB"/>
              </w:rPr>
            </w:r>
            <w:r w:rsidRPr="0040597D">
              <w:rPr>
                <w:sz w:val="21"/>
                <w:szCs w:val="21"/>
                <w:lang w:eastAsia="en-GB"/>
              </w:rPr>
              <w:fldChar w:fldCharType="separate"/>
            </w:r>
            <w:r w:rsidRPr="0040597D">
              <w:t>Figure 6</w:t>
            </w:r>
            <w:r w:rsidRPr="0040597D">
              <w:rPr>
                <w:sz w:val="21"/>
                <w:szCs w:val="21"/>
                <w:lang w:eastAsia="en-GB"/>
              </w:rPr>
              <w:fldChar w:fldCharType="end"/>
            </w:r>
            <w:r w:rsidRPr="0040597D">
              <w:rPr>
                <w:sz w:val="21"/>
                <w:szCs w:val="21"/>
                <w:lang w:eastAsia="en-GB"/>
              </w:rPr>
              <w:t xml:space="preserve">) indicates that there is </w:t>
            </w:r>
            <w:proofErr w:type="gramStart"/>
            <w:r w:rsidRPr="0040597D">
              <w:rPr>
                <w:sz w:val="21"/>
                <w:szCs w:val="21"/>
                <w:lang w:eastAsia="en-GB"/>
              </w:rPr>
              <w:t>very little</w:t>
            </w:r>
            <w:proofErr w:type="gramEnd"/>
            <w:r w:rsidRPr="0040597D">
              <w:rPr>
                <w:sz w:val="21"/>
                <w:szCs w:val="21"/>
                <w:lang w:eastAsia="en-GB"/>
              </w:rPr>
              <w:t xml:space="preserve"> difference between any of the methods in either reference or monitoring periods, with the result that any chosen approach would produce equivalent emissions estimates.</w:t>
            </w:r>
          </w:p>
          <w:p w14:paraId="3F9CEFFD" w14:textId="77777777" w:rsidR="00706213" w:rsidRPr="0040597D" w:rsidRDefault="00706213" w:rsidP="00706213">
            <w:pPr>
              <w:rPr>
                <w:color w:val="000000"/>
                <w:lang w:eastAsia="en-GB"/>
              </w:rPr>
            </w:pPr>
          </w:p>
          <w:p w14:paraId="02AF918C" w14:textId="77777777" w:rsidR="00706213" w:rsidRPr="0040597D" w:rsidRDefault="00706213" w:rsidP="00706213">
            <w:pPr>
              <w:rPr>
                <w:color w:val="000000"/>
                <w:lang w:eastAsia="en-GB"/>
              </w:rPr>
            </w:pPr>
            <w:r w:rsidRPr="0040597D">
              <w:rPr>
                <w:noProof/>
                <w:sz w:val="21"/>
                <w:szCs w:val="21"/>
                <w:bdr w:val="none" w:sz="0" w:space="0" w:color="auto" w:frame="1"/>
                <w:lang w:val="en-GB" w:eastAsia="en-GB"/>
              </w:rPr>
              <w:drawing>
                <wp:inline distT="0" distB="0" distL="0" distR="0" wp14:anchorId="5D1E7A4A" wp14:editId="75464950">
                  <wp:extent cx="4808786" cy="3426031"/>
                  <wp:effectExtent l="0" t="0" r="0" b="3175"/>
                  <wp:docPr id="18" name="Picture 18" descr="https://lh5.googleusercontent.com/i5GrCrYxHr4Xc3E-Xh2Z4FWkz1a76yzbcYeujUGCQx3aNwHLRUFAvFhxhEGAezcIjQnUmqMkwC-XQXlakDuoqmh2Ks7FxMKHIMMkUTFQvvem6UjBv2gzZe-8OGgIk0pqqSvd7-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5.googleusercontent.com/i5GrCrYxHr4Xc3E-Xh2Z4FWkz1a76yzbcYeujUGCQx3aNwHLRUFAvFhxhEGAezcIjQnUmqMkwC-XQXlakDuoqmh2Ks7FxMKHIMMkUTFQvvem6UjBv2gzZe-8OGgIk0pqqSvd7-Q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5228" cy="3437745"/>
                          </a:xfrm>
                          <a:prstGeom prst="rect">
                            <a:avLst/>
                          </a:prstGeom>
                          <a:noFill/>
                          <a:ln>
                            <a:noFill/>
                          </a:ln>
                        </pic:spPr>
                      </pic:pic>
                    </a:graphicData>
                  </a:graphic>
                </wp:inline>
              </w:drawing>
            </w:r>
            <w:r w:rsidRPr="0040597D">
              <w:rPr>
                <w:color w:val="000000"/>
                <w:lang w:eastAsia="en-GB"/>
              </w:rPr>
              <w:t> </w:t>
            </w:r>
          </w:p>
          <w:p w14:paraId="7BD98358" w14:textId="4EE83BD3" w:rsidR="001D5282" w:rsidRDefault="00706213" w:rsidP="00706213">
            <w:bookmarkStart w:id="4" w:name="_Ref46996845"/>
            <w:r w:rsidRPr="00706213">
              <w:rPr>
                <w:b/>
              </w:rPr>
              <w:t>Figure SOP4.</w:t>
            </w:r>
            <w:r w:rsidRPr="00706213">
              <w:rPr>
                <w:b/>
              </w:rPr>
              <w:fldChar w:fldCharType="begin"/>
            </w:r>
            <w:r w:rsidRPr="00706213">
              <w:rPr>
                <w:b/>
              </w:rPr>
              <w:instrText xml:space="preserve"> SEQ Figure \* ARABIC </w:instrText>
            </w:r>
            <w:r w:rsidRPr="00706213">
              <w:rPr>
                <w:b/>
              </w:rPr>
              <w:fldChar w:fldCharType="separate"/>
            </w:r>
            <w:r w:rsidRPr="00706213">
              <w:rPr>
                <w:b/>
                <w:noProof/>
              </w:rPr>
              <w:t>1</w:t>
            </w:r>
            <w:r w:rsidRPr="00706213">
              <w:rPr>
                <w:b/>
                <w:noProof/>
              </w:rPr>
              <w:fldChar w:fldCharType="end"/>
            </w:r>
            <w:bookmarkEnd w:id="4"/>
            <w:r w:rsidRPr="00706213">
              <w:rPr>
                <w:b/>
                <w:color w:val="000000"/>
                <w:lang w:eastAsia="en-GB"/>
              </w:rPr>
              <w:t>:</w:t>
            </w:r>
            <w:r w:rsidRPr="0040597D">
              <w:rPr>
                <w:color w:val="000000"/>
                <w:lang w:eastAsia="en-GB"/>
              </w:rPr>
              <w:t xml:space="preserve"> Total activity data area estimates for monitoring period using normal distributions for each transition class (red), normal distributions with a minimum area of 0 ha (green), and non-parametric bootstrapping (blue). All three methods result in equivalent uncertainty estimates.</w:t>
            </w:r>
          </w:p>
        </w:tc>
      </w:tr>
      <w:tr w:rsidR="001D5282" w:rsidRPr="000E62B7" w14:paraId="6B3FA7EA" w14:textId="77777777" w:rsidTr="003F68B7">
        <w:trPr>
          <w:trHeight w:val="432"/>
        </w:trPr>
        <w:tc>
          <w:tcPr>
            <w:tcW w:w="5000" w:type="pct"/>
            <w:gridSpan w:val="2"/>
            <w:tcBorders>
              <w:bottom w:val="single" w:sz="4" w:space="0" w:color="auto"/>
            </w:tcBorders>
            <w:shd w:val="clear" w:color="auto" w:fill="E0E0E0"/>
          </w:tcPr>
          <w:p w14:paraId="41DD8B8E" w14:textId="5387BAD7" w:rsidR="001D5282" w:rsidRDefault="001D5282" w:rsidP="00BF583C">
            <w:pPr>
              <w:pStyle w:val="Heading2"/>
            </w:pPr>
            <w:bookmarkStart w:id="5" w:name="_Toc31088434"/>
            <w:r w:rsidRPr="007154E6">
              <w:lastRenderedPageBreak/>
              <w:t>Section 3 Quality management</w:t>
            </w:r>
            <w:bookmarkEnd w:id="5"/>
          </w:p>
        </w:tc>
      </w:tr>
      <w:tr w:rsidR="001D5282" w:rsidRPr="000E62B7" w14:paraId="5BAC3149" w14:textId="77777777" w:rsidTr="003F68B7">
        <w:trPr>
          <w:trHeight w:val="432"/>
        </w:trPr>
        <w:tc>
          <w:tcPr>
            <w:tcW w:w="903" w:type="pct"/>
            <w:tcBorders>
              <w:bottom w:val="single" w:sz="4" w:space="0" w:color="auto"/>
            </w:tcBorders>
            <w:shd w:val="clear" w:color="auto" w:fill="E0E0E0"/>
          </w:tcPr>
          <w:p w14:paraId="32DF1763" w14:textId="18331CE1" w:rsidR="001D5282" w:rsidRDefault="001D5282" w:rsidP="001D5282">
            <w:pPr>
              <w:pStyle w:val="NormalBold"/>
            </w:pPr>
            <w:r>
              <w:t>Error matrix</w:t>
            </w:r>
          </w:p>
        </w:tc>
        <w:tc>
          <w:tcPr>
            <w:tcW w:w="4097" w:type="pct"/>
            <w:tcBorders>
              <w:bottom w:val="single" w:sz="4" w:space="0" w:color="auto"/>
            </w:tcBorders>
            <w:vAlign w:val="center"/>
          </w:tcPr>
          <w:p w14:paraId="4FDC8433" w14:textId="272FE492" w:rsidR="001D5282" w:rsidRDefault="001D5282" w:rsidP="00866F7B">
            <w:pPr>
              <w:pStyle w:val="ListParagraph"/>
              <w:numPr>
                <w:ilvl w:val="0"/>
                <w:numId w:val="4"/>
              </w:numPr>
            </w:pPr>
            <w:r>
              <w:t>The error matrix, particularly that for sample counts, is usually an effective too</w:t>
            </w:r>
            <w:r w:rsidR="006854C5">
              <w:t>l</w:t>
            </w:r>
            <w:r>
              <w:t xml:space="preserve"> to quickly detect the overall quality of the data collection process. High numbers in off-diagonal elements (commission, or mostly, omission errors), when compared to those in the diagonal, may reflect a poor number of samples overall, imply the need for a revision in data interpretation procedures or response design, or even reflect a poor map quality that may involve a new processing of the map. Often </w:t>
            </w:r>
            <w:r>
              <w:lastRenderedPageBreak/>
              <w:t>the people responsible may need to go back to review procedures. Although this may theoretically produce biases, it is often a necessary consequence derived by lack of expertise or knowledge in the specific area assessed.</w:t>
            </w:r>
          </w:p>
          <w:p w14:paraId="3390F8F9" w14:textId="2FCA03C1" w:rsidR="001D5282" w:rsidRDefault="001D5282" w:rsidP="00866F7B">
            <w:pPr>
              <w:pStyle w:val="ListParagraph"/>
              <w:numPr>
                <w:ilvl w:val="0"/>
                <w:numId w:val="4"/>
              </w:numPr>
            </w:pPr>
            <w:r>
              <w:t>Report the error matrix in terms of estimated area proportions.</w:t>
            </w:r>
          </w:p>
        </w:tc>
      </w:tr>
      <w:tr w:rsidR="001D5282" w:rsidRPr="000E62B7" w14:paraId="4DD12A8B" w14:textId="77777777" w:rsidTr="003F68B7">
        <w:trPr>
          <w:trHeight w:val="432"/>
        </w:trPr>
        <w:tc>
          <w:tcPr>
            <w:tcW w:w="903" w:type="pct"/>
            <w:tcBorders>
              <w:bottom w:val="single" w:sz="4" w:space="0" w:color="auto"/>
            </w:tcBorders>
            <w:shd w:val="clear" w:color="auto" w:fill="E0E0E0"/>
          </w:tcPr>
          <w:p w14:paraId="5DBA80FD" w14:textId="75EDF766" w:rsidR="001D5282" w:rsidRDefault="001D5282" w:rsidP="001D5282">
            <w:pPr>
              <w:pStyle w:val="NormalBold"/>
            </w:pPr>
            <w:r>
              <w:lastRenderedPageBreak/>
              <w:t>Area and uncertainty estimation</w:t>
            </w:r>
          </w:p>
        </w:tc>
        <w:tc>
          <w:tcPr>
            <w:tcW w:w="4097" w:type="pct"/>
            <w:tcBorders>
              <w:bottom w:val="single" w:sz="4" w:space="0" w:color="auto"/>
            </w:tcBorders>
            <w:vAlign w:val="center"/>
          </w:tcPr>
          <w:p w14:paraId="56F345FF" w14:textId="5FF1EC0E" w:rsidR="001D5282" w:rsidRDefault="00F31B3E" w:rsidP="001D5282">
            <w:r>
              <w:t xml:space="preserve">Set a </w:t>
            </w:r>
            <w:r w:rsidRPr="00F31B3E">
              <w:t xml:space="preserve">maximum permissible </w:t>
            </w:r>
            <w:r>
              <w:t>uncertainty.</w:t>
            </w:r>
          </w:p>
        </w:tc>
      </w:tr>
      <w:tr w:rsidR="004D0577" w:rsidRPr="000E62B7" w14:paraId="55EDB883" w14:textId="77777777" w:rsidTr="003F68B7">
        <w:trPr>
          <w:trHeight w:val="432"/>
        </w:trPr>
        <w:tc>
          <w:tcPr>
            <w:tcW w:w="903" w:type="pct"/>
            <w:tcBorders>
              <w:bottom w:val="single" w:sz="4" w:space="0" w:color="auto"/>
            </w:tcBorders>
            <w:shd w:val="clear" w:color="auto" w:fill="E0E0E0"/>
            <w:vAlign w:val="center"/>
          </w:tcPr>
          <w:p w14:paraId="79AF00D3" w14:textId="29DA7B27" w:rsidR="004D0577" w:rsidRDefault="004D0577" w:rsidP="004D0577">
            <w:pPr>
              <w:pStyle w:val="NormalBold"/>
            </w:pPr>
            <w:r w:rsidRPr="00A56704">
              <w:t>Data Flow Diagram</w:t>
            </w:r>
          </w:p>
        </w:tc>
        <w:tc>
          <w:tcPr>
            <w:tcW w:w="4097" w:type="pct"/>
            <w:tcBorders>
              <w:bottom w:val="single" w:sz="4" w:space="0" w:color="auto"/>
            </w:tcBorders>
            <w:vAlign w:val="center"/>
          </w:tcPr>
          <w:p w14:paraId="49BF9616" w14:textId="215D62F2" w:rsidR="004D0577" w:rsidRDefault="004D0577" w:rsidP="001D5282">
            <w:r>
              <w:rPr>
                <w:noProof/>
                <w:lang w:val="en-GB" w:eastAsia="en-GB"/>
              </w:rPr>
              <w:drawing>
                <wp:inline distT="0" distB="0" distL="0" distR="0" wp14:anchorId="16A99331" wp14:editId="028077E6">
                  <wp:extent cx="5003800" cy="3354070"/>
                  <wp:effectExtent l="0" t="0" r="6350" b="0"/>
                  <wp:docPr id="16" name="Picture 1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3800" cy="3354070"/>
                          </a:xfrm>
                          <a:prstGeom prst="rect">
                            <a:avLst/>
                          </a:prstGeom>
                        </pic:spPr>
                      </pic:pic>
                    </a:graphicData>
                  </a:graphic>
                </wp:inline>
              </w:drawing>
            </w:r>
          </w:p>
        </w:tc>
      </w:tr>
      <w:tr w:rsidR="004D0577" w:rsidRPr="000E62B7" w14:paraId="6CB32F5F" w14:textId="77777777" w:rsidTr="003F68B7">
        <w:trPr>
          <w:trHeight w:val="432"/>
        </w:trPr>
        <w:tc>
          <w:tcPr>
            <w:tcW w:w="903" w:type="pct"/>
            <w:tcBorders>
              <w:bottom w:val="single" w:sz="4" w:space="0" w:color="auto"/>
            </w:tcBorders>
            <w:shd w:val="clear" w:color="auto" w:fill="E0E0E0"/>
          </w:tcPr>
          <w:p w14:paraId="3EA54EB9" w14:textId="2AC71A31" w:rsidR="004D0577" w:rsidRDefault="004D0577" w:rsidP="001D5282">
            <w:pPr>
              <w:pStyle w:val="NormalBold"/>
            </w:pPr>
            <w:r>
              <w:rPr>
                <w:bCs/>
                <w:lang w:val="en"/>
              </w:rPr>
              <w:t>References</w:t>
            </w:r>
          </w:p>
        </w:tc>
        <w:tc>
          <w:tcPr>
            <w:tcW w:w="4097" w:type="pct"/>
            <w:tcBorders>
              <w:bottom w:val="single" w:sz="4" w:space="0" w:color="auto"/>
            </w:tcBorders>
            <w:vAlign w:val="center"/>
          </w:tcPr>
          <w:p w14:paraId="66C9F46F" w14:textId="1436EAD1" w:rsidR="004D0577" w:rsidRDefault="009C71E4" w:rsidP="001D5282">
            <w:r w:rsidRPr="009C71E4">
              <w:t xml:space="preserve">Olofsson, P., Foody, G. M., Herold, M., Stehman, S. V., Woodcock, C. E., </w:t>
            </w:r>
            <w:proofErr w:type="spellStart"/>
            <w:r w:rsidRPr="009C71E4">
              <w:t>Wulder</w:t>
            </w:r>
            <w:proofErr w:type="spellEnd"/>
            <w:r w:rsidRPr="009C71E4">
              <w:t>, M. A. 2014. Good practices for estimating area and assessing accuracy of land change. Remote Sensing of Environment, 148:42–57.</w:t>
            </w:r>
          </w:p>
        </w:tc>
      </w:tr>
    </w:tbl>
    <w:p w14:paraId="50EEE580" w14:textId="31FD17A9" w:rsidR="00503905" w:rsidRDefault="00503905" w:rsidP="002835F2">
      <w:pPr>
        <w:spacing w:before="0" w:after="0"/>
      </w:pPr>
    </w:p>
    <w:p w14:paraId="55817BA5" w14:textId="77777777" w:rsidR="00503905" w:rsidRDefault="00503905">
      <w:pPr>
        <w:tabs>
          <w:tab w:val="clear" w:pos="2842"/>
        </w:tabs>
        <w:spacing w:before="0" w:after="0"/>
        <w:jc w:val="left"/>
      </w:pPr>
      <w:r>
        <w:br w:type="page"/>
      </w:r>
    </w:p>
    <w:p w14:paraId="6E029790" w14:textId="77777777" w:rsidR="0010065C" w:rsidRDefault="0010065C" w:rsidP="0010065C">
      <w:pPr>
        <w:rPr>
          <w:lang w:val="en-GB"/>
        </w:rPr>
      </w:pPr>
      <w:r w:rsidRPr="00ED3CF1">
        <w:rPr>
          <w:lang w:val="pt-PT"/>
        </w:rPr>
        <w:lastRenderedPageBreak/>
        <w:t>© 2021 by MRV Unit</w:t>
      </w:r>
      <w:r w:rsidRPr="00582884">
        <w:rPr>
          <w:lang w:val="pt-PT"/>
        </w:rPr>
        <w:t xml:space="preserve"> under the Fundo Nacional do Desenvolvimento Sustentável. </w:t>
      </w:r>
      <w:r w:rsidRPr="005C7F15">
        <w:rPr>
          <w:lang w:val="en-GB"/>
        </w:rPr>
        <w:t>Standard Operating Procedures for Sampled-Based Area Estimation</w:t>
      </w:r>
      <w:r>
        <w:rPr>
          <w:lang w:val="en-GB"/>
        </w:rPr>
        <w:t xml:space="preserve"> is made available under a </w:t>
      </w:r>
      <w:hyperlink r:id="rId10" w:history="1">
        <w:r w:rsidRPr="007D51F5">
          <w:rPr>
            <w:rStyle w:val="Hyperlink"/>
            <w:lang w:val="en-GB"/>
          </w:rPr>
          <w:t>Creative Commons By 3.0 IGO license</w:t>
        </w:r>
      </w:hyperlink>
      <w:r>
        <w:rPr>
          <w:lang w:val="en-GB"/>
        </w:rPr>
        <w:t xml:space="preserve">: </w:t>
      </w:r>
      <w:hyperlink r:id="rId11" w:history="1">
        <w:r w:rsidRPr="007D51F5">
          <w:rPr>
            <w:rStyle w:val="Hyperlink"/>
            <w:lang w:val="en-GB"/>
          </w:rPr>
          <w:t>https://creativecommons.org/license/by/3.0/igo/</w:t>
        </w:r>
      </w:hyperlink>
    </w:p>
    <w:p w14:paraId="183CFA25" w14:textId="77777777" w:rsidR="0010065C" w:rsidRDefault="0010065C" w:rsidP="00C63F02">
      <w:pPr>
        <w:rPr>
          <w:lang w:val="en-GB"/>
        </w:rPr>
      </w:pPr>
    </w:p>
    <w:p w14:paraId="449B0799" w14:textId="4D7B8F80" w:rsidR="00C63F02" w:rsidRDefault="00C63F02" w:rsidP="00C63F02">
      <w:pPr>
        <w:rPr>
          <w:lang w:val="en-GB"/>
        </w:rPr>
      </w:pPr>
      <w:r w:rsidRPr="00E01385">
        <w:rPr>
          <w:lang w:val="en-GB"/>
        </w:rPr>
        <w:t>For mo</w:t>
      </w:r>
      <w:r>
        <w:rPr>
          <w:lang w:val="en-GB"/>
        </w:rPr>
        <w:t>re information, please visit:</w:t>
      </w:r>
    </w:p>
    <w:p w14:paraId="0A7F45B0" w14:textId="77777777" w:rsidR="00C63F02" w:rsidRDefault="00C63F02" w:rsidP="00C63F02">
      <w:pPr>
        <w:pStyle w:val="ListParagraph"/>
        <w:numPr>
          <w:ilvl w:val="0"/>
          <w:numId w:val="7"/>
        </w:numPr>
        <w:tabs>
          <w:tab w:val="clear" w:pos="2842"/>
        </w:tabs>
        <w:spacing w:before="0" w:after="160" w:line="259" w:lineRule="auto"/>
        <w:rPr>
          <w:lang w:val="pt-PT"/>
        </w:rPr>
      </w:pPr>
      <w:r w:rsidRPr="00BE6B9B">
        <w:rPr>
          <w:lang w:val="pt-PT"/>
        </w:rPr>
        <w:t xml:space="preserve">Mozambique MRV website: </w:t>
      </w:r>
      <w:hyperlink r:id="rId12" w:history="1">
        <w:r w:rsidRPr="004C30D4">
          <w:rPr>
            <w:rStyle w:val="Hyperlink"/>
            <w:lang w:val="pt-PT"/>
          </w:rPr>
          <w:t>https://www.fnds.gov.mz/mrv/</w:t>
        </w:r>
      </w:hyperlink>
    </w:p>
    <w:p w14:paraId="4FA120E4" w14:textId="77777777" w:rsidR="00C63F02" w:rsidRPr="00BE6B9B" w:rsidRDefault="00C63F02" w:rsidP="00C63F02">
      <w:pPr>
        <w:pStyle w:val="ListParagraph"/>
        <w:tabs>
          <w:tab w:val="clear" w:pos="2842"/>
        </w:tabs>
        <w:spacing w:before="0" w:after="160" w:line="259" w:lineRule="auto"/>
        <w:ind w:left="360"/>
        <w:rPr>
          <w:lang w:val="pt-PT"/>
        </w:rPr>
      </w:pPr>
    </w:p>
    <w:p w14:paraId="7377AE41" w14:textId="77777777" w:rsidR="00C63F02" w:rsidRPr="003C7C0C" w:rsidRDefault="00C63F02" w:rsidP="00C63F02">
      <w:pPr>
        <w:rPr>
          <w:lang w:val="pt-PT"/>
        </w:rPr>
      </w:pPr>
      <w:r w:rsidRPr="003C7C0C">
        <w:rPr>
          <w:b/>
          <w:lang w:val="pt-PT"/>
        </w:rPr>
        <w:t>Please cite as</w:t>
      </w:r>
      <w:r w:rsidRPr="0034419B">
        <w:rPr>
          <w:lang w:val="pt-PT"/>
        </w:rPr>
        <w:t>: Unidade de MRV-</w:t>
      </w:r>
      <w:r w:rsidRPr="003C7C0C">
        <w:rPr>
          <w:lang w:val="pt-PT"/>
        </w:rPr>
        <w:t xml:space="preserve">FNDS. </w:t>
      </w:r>
      <w:r w:rsidRPr="009F54FF">
        <w:rPr>
          <w:lang w:val="en-GB"/>
        </w:rPr>
        <w:t xml:space="preserve">2020.  </w:t>
      </w:r>
      <w:r w:rsidRPr="0086790F">
        <w:rPr>
          <w:lang w:val="en-GB"/>
        </w:rPr>
        <w:t xml:space="preserve">Standard Operating Procedures for Sampled-Based Area Estimation: </w:t>
      </w:r>
      <w:r w:rsidRPr="001705CE">
        <w:rPr>
          <w:lang w:val="en-GB"/>
        </w:rPr>
        <w:t>Sample-Based Analysis</w:t>
      </w:r>
      <w:r w:rsidRPr="0086790F">
        <w:rPr>
          <w:lang w:val="en-GB"/>
        </w:rPr>
        <w:t xml:space="preserve">. </w:t>
      </w:r>
      <w:r w:rsidRPr="003C7C0C">
        <w:rPr>
          <w:lang w:val="pt-PT"/>
        </w:rPr>
        <w:t>Fundo Nacional do Desenvolvimento Sustentável (FNDS), Maputo, Mozambique.</w:t>
      </w:r>
    </w:p>
    <w:p w14:paraId="2A30ECE7" w14:textId="77777777" w:rsidR="002835F2" w:rsidRPr="00503905" w:rsidRDefault="002835F2" w:rsidP="002835F2">
      <w:pPr>
        <w:spacing w:before="0" w:after="0"/>
        <w:rPr>
          <w:vanish/>
          <w:lang w:val="pt-PT"/>
        </w:rPr>
      </w:pPr>
    </w:p>
    <w:p w14:paraId="77E75172" w14:textId="77777777" w:rsidR="006A7D4D" w:rsidRPr="00730933" w:rsidRDefault="006A7D4D" w:rsidP="003469C5"/>
    <w:sectPr w:rsidR="006A7D4D" w:rsidRPr="00730933" w:rsidSect="00B931C6">
      <w:headerReference w:type="even" r:id="rId13"/>
      <w:headerReference w:type="default" r:id="rId14"/>
      <w:footerReference w:type="even" r:id="rId15"/>
      <w:footerReference w:type="default" r:id="rId16"/>
      <w:headerReference w:type="first" r:id="rId17"/>
      <w:footerReference w:type="first" r:id="rId18"/>
      <w:pgSz w:w="12240" w:h="15840" w:code="1"/>
      <w:pgMar w:top="1008" w:right="1152" w:bottom="1008" w:left="1152" w:header="432"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CA60C" w14:textId="77777777" w:rsidR="006C409F" w:rsidRDefault="006C409F" w:rsidP="00BA623E">
      <w:r>
        <w:separator/>
      </w:r>
    </w:p>
    <w:p w14:paraId="5F9AF638" w14:textId="77777777" w:rsidR="006C409F" w:rsidRDefault="006C409F" w:rsidP="00BA623E"/>
    <w:p w14:paraId="56E4B6B5" w14:textId="77777777" w:rsidR="006C409F" w:rsidRDefault="006C409F" w:rsidP="00BA623E"/>
    <w:p w14:paraId="1F421AF8" w14:textId="77777777" w:rsidR="006C409F" w:rsidRDefault="006C409F" w:rsidP="00BA623E"/>
    <w:p w14:paraId="46114E12" w14:textId="77777777" w:rsidR="006C409F" w:rsidRDefault="006C409F" w:rsidP="00BA623E"/>
    <w:p w14:paraId="20ECE84D" w14:textId="77777777" w:rsidR="006C409F" w:rsidRDefault="006C409F" w:rsidP="00BA623E"/>
    <w:p w14:paraId="3B988AB2" w14:textId="77777777" w:rsidR="006C409F" w:rsidRDefault="006C409F" w:rsidP="00BA623E"/>
    <w:p w14:paraId="660D9565" w14:textId="77777777" w:rsidR="006C409F" w:rsidRDefault="006C409F" w:rsidP="00BA623E"/>
    <w:p w14:paraId="32292F84" w14:textId="77777777" w:rsidR="006C409F" w:rsidRDefault="006C409F" w:rsidP="00BA623E"/>
    <w:p w14:paraId="71109D0A" w14:textId="77777777" w:rsidR="006C409F" w:rsidRDefault="006C409F" w:rsidP="00BA623E"/>
    <w:p w14:paraId="25656A6B" w14:textId="77777777" w:rsidR="006C409F" w:rsidRDefault="006C409F" w:rsidP="00BA623E"/>
    <w:p w14:paraId="3EB03FFF" w14:textId="77777777" w:rsidR="006C409F" w:rsidRDefault="006C409F" w:rsidP="00BA623E"/>
    <w:p w14:paraId="0A93EB2A" w14:textId="77777777" w:rsidR="006C409F" w:rsidRDefault="006C409F" w:rsidP="00BA623E"/>
    <w:p w14:paraId="67B14F58" w14:textId="77777777" w:rsidR="006C409F" w:rsidRDefault="006C409F" w:rsidP="00BA623E"/>
    <w:p w14:paraId="183DDFCD" w14:textId="77777777" w:rsidR="006C409F" w:rsidRDefault="006C409F" w:rsidP="00BA623E"/>
    <w:p w14:paraId="18BF867B" w14:textId="77777777" w:rsidR="006C409F" w:rsidRDefault="006C409F" w:rsidP="00BA623E"/>
    <w:p w14:paraId="0696C958" w14:textId="77777777" w:rsidR="006C409F" w:rsidRDefault="006C409F" w:rsidP="00BA623E"/>
    <w:p w14:paraId="61B6F255" w14:textId="77777777" w:rsidR="006C409F" w:rsidRDefault="006C409F" w:rsidP="00BA623E"/>
    <w:p w14:paraId="427B9E04" w14:textId="77777777" w:rsidR="006C409F" w:rsidRDefault="006C409F" w:rsidP="00BA623E"/>
    <w:p w14:paraId="1B69D1F4" w14:textId="77777777" w:rsidR="006C409F" w:rsidRDefault="006C409F" w:rsidP="00BA623E"/>
    <w:p w14:paraId="45A83098" w14:textId="77777777" w:rsidR="006C409F" w:rsidRDefault="006C409F" w:rsidP="00BA623E"/>
    <w:p w14:paraId="605CFE79" w14:textId="77777777" w:rsidR="006C409F" w:rsidRDefault="006C409F" w:rsidP="00BA623E"/>
    <w:p w14:paraId="6A9B5E31" w14:textId="77777777" w:rsidR="006C409F" w:rsidRDefault="006C409F" w:rsidP="00BA623E"/>
    <w:p w14:paraId="65796FC4" w14:textId="77777777" w:rsidR="006C409F" w:rsidRDefault="006C409F" w:rsidP="00BA623E"/>
    <w:p w14:paraId="7EC1969B" w14:textId="77777777" w:rsidR="006C409F" w:rsidRDefault="006C409F" w:rsidP="00BA623E"/>
    <w:p w14:paraId="63BBA16E" w14:textId="77777777" w:rsidR="006C409F" w:rsidRDefault="006C409F" w:rsidP="00BA623E"/>
    <w:p w14:paraId="302CF32C" w14:textId="77777777" w:rsidR="006C409F" w:rsidRDefault="006C409F" w:rsidP="00BA623E"/>
    <w:p w14:paraId="47799C47" w14:textId="77777777" w:rsidR="006C409F" w:rsidRDefault="006C409F" w:rsidP="00BA623E"/>
    <w:p w14:paraId="1F6D199A" w14:textId="77777777" w:rsidR="006C409F" w:rsidRDefault="006C409F" w:rsidP="00BA623E"/>
    <w:p w14:paraId="377BD933" w14:textId="77777777" w:rsidR="006C409F" w:rsidRDefault="006C409F" w:rsidP="00BA623E"/>
    <w:p w14:paraId="25485278" w14:textId="77777777" w:rsidR="006C409F" w:rsidRDefault="006C409F" w:rsidP="00BA623E"/>
    <w:p w14:paraId="6290905F" w14:textId="77777777" w:rsidR="006C409F" w:rsidRDefault="006C409F" w:rsidP="00BA623E"/>
    <w:p w14:paraId="5EFF70FD" w14:textId="77777777" w:rsidR="006C409F" w:rsidRDefault="006C409F" w:rsidP="00BA623E"/>
    <w:p w14:paraId="089E8A02" w14:textId="77777777" w:rsidR="006C409F" w:rsidRDefault="006C409F" w:rsidP="00BA623E"/>
    <w:p w14:paraId="45211803" w14:textId="77777777" w:rsidR="006C409F" w:rsidRDefault="006C409F" w:rsidP="00BA623E"/>
    <w:p w14:paraId="21A30827" w14:textId="77777777" w:rsidR="006C409F" w:rsidRDefault="006C409F" w:rsidP="00BA623E"/>
    <w:p w14:paraId="067C8A93" w14:textId="77777777" w:rsidR="006C409F" w:rsidRDefault="006C409F" w:rsidP="00BA623E"/>
    <w:p w14:paraId="72DCEB09" w14:textId="77777777" w:rsidR="006C409F" w:rsidRDefault="006C409F" w:rsidP="00BA623E"/>
    <w:p w14:paraId="2031BCF8" w14:textId="77777777" w:rsidR="006C409F" w:rsidRDefault="006C409F" w:rsidP="00BA623E"/>
    <w:p w14:paraId="2F2B43F2" w14:textId="77777777" w:rsidR="006C409F" w:rsidRDefault="006C409F" w:rsidP="00BA623E"/>
    <w:p w14:paraId="29DA6A31" w14:textId="77777777" w:rsidR="006C409F" w:rsidRDefault="006C409F" w:rsidP="00BA623E"/>
    <w:p w14:paraId="3B289405" w14:textId="77777777" w:rsidR="006C409F" w:rsidRDefault="006C409F" w:rsidP="00BA623E"/>
    <w:p w14:paraId="1EC362D4" w14:textId="77777777" w:rsidR="006C409F" w:rsidRDefault="006C409F" w:rsidP="00BA623E"/>
    <w:p w14:paraId="48B31EC8" w14:textId="77777777" w:rsidR="006C409F" w:rsidRDefault="006C409F" w:rsidP="00BA623E"/>
    <w:p w14:paraId="1AB0A83D" w14:textId="77777777" w:rsidR="006C409F" w:rsidRDefault="006C409F" w:rsidP="00BA623E"/>
    <w:p w14:paraId="0632EDE0" w14:textId="77777777" w:rsidR="006C409F" w:rsidRDefault="006C409F" w:rsidP="00BA623E"/>
    <w:p w14:paraId="6ADC6950" w14:textId="77777777" w:rsidR="006C409F" w:rsidRDefault="006C409F" w:rsidP="00BA623E"/>
    <w:p w14:paraId="24C11215" w14:textId="77777777" w:rsidR="006C409F" w:rsidRDefault="006C409F" w:rsidP="00BA623E"/>
    <w:p w14:paraId="1DDF7863" w14:textId="77777777" w:rsidR="006C409F" w:rsidRDefault="006C409F" w:rsidP="00BA623E"/>
    <w:p w14:paraId="211A2FC1" w14:textId="77777777" w:rsidR="006C409F" w:rsidRDefault="006C409F" w:rsidP="00BA623E"/>
    <w:p w14:paraId="04A6C506" w14:textId="77777777" w:rsidR="006C409F" w:rsidRDefault="006C409F" w:rsidP="00BA623E"/>
    <w:p w14:paraId="0CE13CB7" w14:textId="77777777" w:rsidR="006C409F" w:rsidRDefault="006C409F" w:rsidP="00BA623E"/>
    <w:p w14:paraId="37E30189" w14:textId="77777777" w:rsidR="006C409F" w:rsidRDefault="006C409F" w:rsidP="00BA623E"/>
    <w:p w14:paraId="1ABEC26F" w14:textId="77777777" w:rsidR="006C409F" w:rsidRDefault="006C409F" w:rsidP="00BA623E"/>
    <w:p w14:paraId="2335D1C0" w14:textId="77777777" w:rsidR="006C409F" w:rsidRDefault="006C409F" w:rsidP="00BA623E"/>
    <w:p w14:paraId="62BC79C8" w14:textId="77777777" w:rsidR="006C409F" w:rsidRDefault="006C409F" w:rsidP="00BA623E"/>
    <w:p w14:paraId="7398CEFC" w14:textId="77777777" w:rsidR="006C409F" w:rsidRDefault="006C409F" w:rsidP="00BA623E"/>
    <w:p w14:paraId="484997E0" w14:textId="77777777" w:rsidR="006C409F" w:rsidRDefault="006C409F" w:rsidP="00BA623E"/>
    <w:p w14:paraId="4A544FCE" w14:textId="77777777" w:rsidR="006C409F" w:rsidRDefault="006C409F" w:rsidP="00BA623E"/>
    <w:p w14:paraId="1F866D1A" w14:textId="77777777" w:rsidR="006C409F" w:rsidRDefault="006C409F" w:rsidP="00BA623E"/>
    <w:p w14:paraId="03143B11" w14:textId="77777777" w:rsidR="006C409F" w:rsidRDefault="006C409F" w:rsidP="00BA623E"/>
    <w:p w14:paraId="3A2AACA1" w14:textId="77777777" w:rsidR="006C409F" w:rsidRDefault="006C409F" w:rsidP="00BA623E"/>
    <w:p w14:paraId="122D71D6" w14:textId="77777777" w:rsidR="006C409F" w:rsidRDefault="006C409F" w:rsidP="00BA623E"/>
    <w:p w14:paraId="7474E4F2" w14:textId="77777777" w:rsidR="006C409F" w:rsidRDefault="006C409F" w:rsidP="00BA623E"/>
    <w:p w14:paraId="43801FAF" w14:textId="77777777" w:rsidR="006C409F" w:rsidRDefault="006C409F" w:rsidP="00BA623E"/>
    <w:p w14:paraId="254C5B83" w14:textId="77777777" w:rsidR="006C409F" w:rsidRDefault="006C409F" w:rsidP="00BA623E"/>
    <w:p w14:paraId="7D5F6962" w14:textId="77777777" w:rsidR="006C409F" w:rsidRDefault="006C409F" w:rsidP="00BA623E"/>
    <w:p w14:paraId="505AC8AA" w14:textId="77777777" w:rsidR="006C409F" w:rsidRDefault="006C409F" w:rsidP="00BA623E"/>
    <w:p w14:paraId="45D10989" w14:textId="77777777" w:rsidR="006C409F" w:rsidRDefault="006C409F" w:rsidP="00BA623E"/>
    <w:p w14:paraId="7F679632" w14:textId="77777777" w:rsidR="006C409F" w:rsidRDefault="006C409F" w:rsidP="00BA623E"/>
    <w:p w14:paraId="43F9FCAB" w14:textId="77777777" w:rsidR="006C409F" w:rsidRDefault="006C409F" w:rsidP="00BA623E"/>
    <w:p w14:paraId="685EF360" w14:textId="77777777" w:rsidR="006C409F" w:rsidRDefault="006C409F" w:rsidP="00BA623E"/>
    <w:p w14:paraId="1DABA01D" w14:textId="77777777" w:rsidR="006C409F" w:rsidRDefault="006C409F" w:rsidP="00BA623E"/>
    <w:p w14:paraId="5C2A4423" w14:textId="77777777" w:rsidR="006C409F" w:rsidRDefault="006C409F" w:rsidP="00BA623E"/>
    <w:p w14:paraId="5C84D71E" w14:textId="77777777" w:rsidR="006C409F" w:rsidRDefault="006C409F" w:rsidP="00BA623E"/>
    <w:p w14:paraId="6F3D8305" w14:textId="77777777" w:rsidR="006C409F" w:rsidRDefault="006C409F" w:rsidP="00BA623E"/>
    <w:p w14:paraId="25D850F4" w14:textId="77777777" w:rsidR="006C409F" w:rsidRDefault="006C409F"/>
    <w:p w14:paraId="76A6571C" w14:textId="77777777" w:rsidR="006C409F" w:rsidRDefault="006C409F"/>
    <w:p w14:paraId="6668CF65" w14:textId="77777777" w:rsidR="006C409F" w:rsidRDefault="006C409F"/>
  </w:endnote>
  <w:endnote w:type="continuationSeparator" w:id="0">
    <w:p w14:paraId="59D09809" w14:textId="77777777" w:rsidR="006C409F" w:rsidRDefault="006C409F" w:rsidP="00BA623E">
      <w:r>
        <w:continuationSeparator/>
      </w:r>
    </w:p>
    <w:p w14:paraId="326587BB" w14:textId="77777777" w:rsidR="006C409F" w:rsidRDefault="006C409F" w:rsidP="00BA623E"/>
    <w:p w14:paraId="7C14F170" w14:textId="77777777" w:rsidR="006C409F" w:rsidRDefault="006C409F" w:rsidP="00BA623E"/>
    <w:p w14:paraId="4A7F5417" w14:textId="77777777" w:rsidR="006C409F" w:rsidRDefault="006C409F" w:rsidP="00BA623E"/>
    <w:p w14:paraId="11C9E0AF" w14:textId="77777777" w:rsidR="006C409F" w:rsidRDefault="006C409F" w:rsidP="00BA623E"/>
    <w:p w14:paraId="08BD4363" w14:textId="77777777" w:rsidR="006C409F" w:rsidRDefault="006C409F" w:rsidP="00BA623E"/>
    <w:p w14:paraId="5FCEEE13" w14:textId="77777777" w:rsidR="006C409F" w:rsidRDefault="006C409F" w:rsidP="00BA623E"/>
    <w:p w14:paraId="20904930" w14:textId="77777777" w:rsidR="006C409F" w:rsidRDefault="006C409F" w:rsidP="00BA623E"/>
    <w:p w14:paraId="5A547AB2" w14:textId="77777777" w:rsidR="006C409F" w:rsidRDefault="006C409F" w:rsidP="00BA623E"/>
    <w:p w14:paraId="75F3EAB5" w14:textId="77777777" w:rsidR="006C409F" w:rsidRDefault="006C409F" w:rsidP="00BA623E"/>
    <w:p w14:paraId="29801F1C" w14:textId="77777777" w:rsidR="006C409F" w:rsidRDefault="006C409F" w:rsidP="00BA623E"/>
    <w:p w14:paraId="33364AAB" w14:textId="77777777" w:rsidR="006C409F" w:rsidRDefault="006C409F" w:rsidP="00BA623E"/>
    <w:p w14:paraId="44DB3F43" w14:textId="77777777" w:rsidR="006C409F" w:rsidRDefault="006C409F" w:rsidP="00BA623E"/>
    <w:p w14:paraId="2A16CF93" w14:textId="77777777" w:rsidR="006C409F" w:rsidRDefault="006C409F" w:rsidP="00BA623E"/>
    <w:p w14:paraId="4825F2E6" w14:textId="77777777" w:rsidR="006C409F" w:rsidRDefault="006C409F" w:rsidP="00BA623E"/>
    <w:p w14:paraId="72E439BE" w14:textId="77777777" w:rsidR="006C409F" w:rsidRDefault="006C409F" w:rsidP="00BA623E"/>
    <w:p w14:paraId="38882636" w14:textId="77777777" w:rsidR="006C409F" w:rsidRDefault="006C409F" w:rsidP="00BA623E"/>
    <w:p w14:paraId="5A2EA694" w14:textId="77777777" w:rsidR="006C409F" w:rsidRDefault="006C409F" w:rsidP="00BA623E"/>
    <w:p w14:paraId="4AB9681D" w14:textId="77777777" w:rsidR="006C409F" w:rsidRDefault="006C409F" w:rsidP="00BA623E"/>
    <w:p w14:paraId="45DBED09" w14:textId="77777777" w:rsidR="006C409F" w:rsidRDefault="006C409F" w:rsidP="00BA623E"/>
    <w:p w14:paraId="21215D92" w14:textId="77777777" w:rsidR="006C409F" w:rsidRDefault="006C409F" w:rsidP="00BA623E"/>
    <w:p w14:paraId="180F61B7" w14:textId="77777777" w:rsidR="006C409F" w:rsidRDefault="006C409F" w:rsidP="00BA623E"/>
    <w:p w14:paraId="21245B63" w14:textId="77777777" w:rsidR="006C409F" w:rsidRDefault="006C409F" w:rsidP="00BA623E"/>
    <w:p w14:paraId="0AD29765" w14:textId="77777777" w:rsidR="006C409F" w:rsidRDefault="006C409F" w:rsidP="00BA623E"/>
    <w:p w14:paraId="4C06BA88" w14:textId="77777777" w:rsidR="006C409F" w:rsidRDefault="006C409F" w:rsidP="00BA623E"/>
    <w:p w14:paraId="392EE021" w14:textId="77777777" w:rsidR="006C409F" w:rsidRDefault="006C409F" w:rsidP="00BA623E"/>
    <w:p w14:paraId="56591AF8" w14:textId="77777777" w:rsidR="006C409F" w:rsidRDefault="006C409F" w:rsidP="00BA623E"/>
    <w:p w14:paraId="336C72C9" w14:textId="77777777" w:rsidR="006C409F" w:rsidRDefault="006C409F" w:rsidP="00BA623E"/>
    <w:p w14:paraId="627C68ED" w14:textId="77777777" w:rsidR="006C409F" w:rsidRDefault="006C409F" w:rsidP="00BA623E"/>
    <w:p w14:paraId="59D2391E" w14:textId="77777777" w:rsidR="006C409F" w:rsidRDefault="006C409F" w:rsidP="00BA623E"/>
    <w:p w14:paraId="70E618C0" w14:textId="77777777" w:rsidR="006C409F" w:rsidRDefault="006C409F" w:rsidP="00BA623E"/>
    <w:p w14:paraId="46506A52" w14:textId="77777777" w:rsidR="006C409F" w:rsidRDefault="006C409F" w:rsidP="00BA623E"/>
    <w:p w14:paraId="160BAD46" w14:textId="77777777" w:rsidR="006C409F" w:rsidRDefault="006C409F" w:rsidP="00BA623E"/>
    <w:p w14:paraId="590315F8" w14:textId="77777777" w:rsidR="006C409F" w:rsidRDefault="006C409F" w:rsidP="00BA623E"/>
    <w:p w14:paraId="666EA621" w14:textId="77777777" w:rsidR="006C409F" w:rsidRDefault="006C409F" w:rsidP="00BA623E"/>
    <w:p w14:paraId="3DE8346D" w14:textId="77777777" w:rsidR="006C409F" w:rsidRDefault="006C409F" w:rsidP="00BA623E"/>
    <w:p w14:paraId="10301DC8" w14:textId="77777777" w:rsidR="006C409F" w:rsidRDefault="006C409F" w:rsidP="00BA623E"/>
    <w:p w14:paraId="20F32F84" w14:textId="77777777" w:rsidR="006C409F" w:rsidRDefault="006C409F" w:rsidP="00BA623E"/>
    <w:p w14:paraId="2C7294B9" w14:textId="77777777" w:rsidR="006C409F" w:rsidRDefault="006C409F" w:rsidP="00BA623E"/>
    <w:p w14:paraId="42C058C5" w14:textId="77777777" w:rsidR="006C409F" w:rsidRDefault="006C409F" w:rsidP="00BA623E"/>
    <w:p w14:paraId="681A560E" w14:textId="77777777" w:rsidR="006C409F" w:rsidRDefault="006C409F" w:rsidP="00BA623E"/>
    <w:p w14:paraId="556444C8" w14:textId="77777777" w:rsidR="006C409F" w:rsidRDefault="006C409F" w:rsidP="00BA623E"/>
    <w:p w14:paraId="02AF8381" w14:textId="77777777" w:rsidR="006C409F" w:rsidRDefault="006C409F" w:rsidP="00BA623E"/>
    <w:p w14:paraId="22548CFC" w14:textId="77777777" w:rsidR="006C409F" w:rsidRDefault="006C409F" w:rsidP="00BA623E"/>
    <w:p w14:paraId="20B15DF7" w14:textId="77777777" w:rsidR="006C409F" w:rsidRDefault="006C409F" w:rsidP="00BA623E"/>
    <w:p w14:paraId="4F6EA2F9" w14:textId="77777777" w:rsidR="006C409F" w:rsidRDefault="006C409F" w:rsidP="00BA623E"/>
    <w:p w14:paraId="626F06EB" w14:textId="77777777" w:rsidR="006C409F" w:rsidRDefault="006C409F" w:rsidP="00BA623E"/>
    <w:p w14:paraId="586944C1" w14:textId="77777777" w:rsidR="006C409F" w:rsidRDefault="006C409F" w:rsidP="00BA623E"/>
    <w:p w14:paraId="597F82B8" w14:textId="77777777" w:rsidR="006C409F" w:rsidRDefault="006C409F" w:rsidP="00BA623E"/>
    <w:p w14:paraId="0BC6A82F" w14:textId="77777777" w:rsidR="006C409F" w:rsidRDefault="006C409F" w:rsidP="00BA623E"/>
    <w:p w14:paraId="5F2ED6A8" w14:textId="77777777" w:rsidR="006C409F" w:rsidRDefault="006C409F" w:rsidP="00BA623E"/>
    <w:p w14:paraId="22EDE517" w14:textId="77777777" w:rsidR="006C409F" w:rsidRDefault="006C409F" w:rsidP="00BA623E"/>
    <w:p w14:paraId="1B7A7913" w14:textId="77777777" w:rsidR="006C409F" w:rsidRDefault="006C409F" w:rsidP="00BA623E"/>
    <w:p w14:paraId="44839FF3" w14:textId="77777777" w:rsidR="006C409F" w:rsidRDefault="006C409F" w:rsidP="00BA623E"/>
    <w:p w14:paraId="089C0326" w14:textId="77777777" w:rsidR="006C409F" w:rsidRDefault="006C409F" w:rsidP="00BA623E"/>
    <w:p w14:paraId="6431826C" w14:textId="77777777" w:rsidR="006C409F" w:rsidRDefault="006C409F" w:rsidP="00BA623E"/>
    <w:p w14:paraId="5A655D39" w14:textId="77777777" w:rsidR="006C409F" w:rsidRDefault="006C409F" w:rsidP="00BA623E"/>
    <w:p w14:paraId="7DB63470" w14:textId="77777777" w:rsidR="006C409F" w:rsidRDefault="006C409F" w:rsidP="00BA623E"/>
    <w:p w14:paraId="520699A2" w14:textId="77777777" w:rsidR="006C409F" w:rsidRDefault="006C409F" w:rsidP="00BA623E"/>
    <w:p w14:paraId="6240B9E3" w14:textId="77777777" w:rsidR="006C409F" w:rsidRDefault="006C409F" w:rsidP="00BA623E"/>
    <w:p w14:paraId="682811BA" w14:textId="77777777" w:rsidR="006C409F" w:rsidRDefault="006C409F" w:rsidP="00BA623E"/>
    <w:p w14:paraId="643D0BB9" w14:textId="77777777" w:rsidR="006C409F" w:rsidRDefault="006C409F" w:rsidP="00BA623E"/>
    <w:p w14:paraId="14F79B6A" w14:textId="77777777" w:rsidR="006C409F" w:rsidRDefault="006C409F" w:rsidP="00BA623E"/>
    <w:p w14:paraId="7A11F7DD" w14:textId="77777777" w:rsidR="006C409F" w:rsidRDefault="006C409F" w:rsidP="00BA623E"/>
    <w:p w14:paraId="1E5EC8A2" w14:textId="77777777" w:rsidR="006C409F" w:rsidRDefault="006C409F" w:rsidP="00BA623E"/>
    <w:p w14:paraId="35439F55" w14:textId="77777777" w:rsidR="006C409F" w:rsidRDefault="006C409F" w:rsidP="00BA623E"/>
    <w:p w14:paraId="7E44475B" w14:textId="77777777" w:rsidR="006C409F" w:rsidRDefault="006C409F" w:rsidP="00BA623E"/>
    <w:p w14:paraId="1C727934" w14:textId="77777777" w:rsidR="006C409F" w:rsidRDefault="006C409F" w:rsidP="00BA623E"/>
    <w:p w14:paraId="6EA07F34" w14:textId="77777777" w:rsidR="006C409F" w:rsidRDefault="006C409F" w:rsidP="00BA623E"/>
    <w:p w14:paraId="1E3CDA64" w14:textId="77777777" w:rsidR="006C409F" w:rsidRDefault="006C409F" w:rsidP="00BA623E"/>
    <w:p w14:paraId="1F92E268" w14:textId="77777777" w:rsidR="006C409F" w:rsidRDefault="006C409F" w:rsidP="00BA623E"/>
    <w:p w14:paraId="61046C79" w14:textId="77777777" w:rsidR="006C409F" w:rsidRDefault="006C409F" w:rsidP="00BA623E"/>
    <w:p w14:paraId="01C23CBF" w14:textId="77777777" w:rsidR="006C409F" w:rsidRDefault="006C409F" w:rsidP="00BA623E"/>
    <w:p w14:paraId="13A11640" w14:textId="77777777" w:rsidR="006C409F" w:rsidRDefault="006C409F" w:rsidP="00BA623E"/>
    <w:p w14:paraId="25DF44D5" w14:textId="77777777" w:rsidR="006C409F" w:rsidRDefault="006C409F" w:rsidP="00BA623E"/>
    <w:p w14:paraId="016076F9" w14:textId="77777777" w:rsidR="006C409F" w:rsidRDefault="006C409F" w:rsidP="00BA623E"/>
    <w:p w14:paraId="6CC0EEE5" w14:textId="77777777" w:rsidR="006C409F" w:rsidRDefault="006C409F"/>
    <w:p w14:paraId="4099A920" w14:textId="77777777" w:rsidR="006C409F" w:rsidRDefault="006C409F"/>
    <w:p w14:paraId="61F9FF39" w14:textId="77777777" w:rsidR="006C409F" w:rsidRDefault="006C4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8421" w14:textId="77777777" w:rsidR="00AA7546" w:rsidRDefault="00AA7546" w:rsidP="00BA623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C09A993" w14:textId="77777777" w:rsidR="00AA7546" w:rsidRDefault="00AA7546" w:rsidP="00BA623E">
    <w:pPr>
      <w:pStyle w:val="Footer"/>
    </w:pPr>
  </w:p>
  <w:p w14:paraId="09BB401A" w14:textId="77777777" w:rsidR="00AA7546" w:rsidRDefault="00AA7546" w:rsidP="00BA623E"/>
  <w:p w14:paraId="6F96D4CC" w14:textId="77777777" w:rsidR="00AA7546" w:rsidRDefault="00AA7546" w:rsidP="00BA623E"/>
  <w:p w14:paraId="086E8E86" w14:textId="77777777" w:rsidR="00AA7546" w:rsidRDefault="00AA7546" w:rsidP="00BA623E"/>
  <w:p w14:paraId="145E5A43" w14:textId="77777777" w:rsidR="00AA7546" w:rsidRDefault="00AA7546" w:rsidP="00BA623E"/>
  <w:p w14:paraId="02B97CEF" w14:textId="77777777" w:rsidR="00AA7546" w:rsidRDefault="00AA7546" w:rsidP="00BA623E"/>
  <w:p w14:paraId="20FA7FF8" w14:textId="77777777" w:rsidR="00AA7546" w:rsidRDefault="00AA7546" w:rsidP="00BA623E"/>
  <w:p w14:paraId="450C07D7" w14:textId="77777777" w:rsidR="00AA7546" w:rsidRDefault="00AA7546" w:rsidP="00BA623E"/>
  <w:p w14:paraId="79959D2B" w14:textId="77777777" w:rsidR="00AA7546" w:rsidRDefault="00AA7546" w:rsidP="00BA623E"/>
  <w:p w14:paraId="7BBB6132" w14:textId="77777777" w:rsidR="00AA7546" w:rsidRDefault="00AA7546" w:rsidP="00BA623E"/>
  <w:p w14:paraId="5E8CAEA1" w14:textId="77777777" w:rsidR="00AA7546" w:rsidRDefault="00AA7546" w:rsidP="00BA623E"/>
  <w:p w14:paraId="56142CE1" w14:textId="77777777" w:rsidR="00AA7546" w:rsidRDefault="00AA7546" w:rsidP="00BA623E"/>
  <w:p w14:paraId="5F0A9E23" w14:textId="77777777" w:rsidR="00AA7546" w:rsidRDefault="00AA7546" w:rsidP="00BA623E"/>
  <w:p w14:paraId="35617BDB" w14:textId="77777777" w:rsidR="00AA7546" w:rsidRDefault="00AA7546" w:rsidP="00BA623E"/>
  <w:p w14:paraId="77D963E9" w14:textId="77777777" w:rsidR="00AA7546" w:rsidRDefault="00AA7546" w:rsidP="00BA623E"/>
  <w:p w14:paraId="69DADC4D" w14:textId="77777777" w:rsidR="00AA7546" w:rsidRDefault="00AA7546" w:rsidP="00BA623E"/>
  <w:p w14:paraId="0C425D27" w14:textId="77777777" w:rsidR="00AA7546" w:rsidRDefault="00AA7546" w:rsidP="00BA623E"/>
  <w:p w14:paraId="68FC5936" w14:textId="77777777" w:rsidR="00AA7546" w:rsidRDefault="00AA7546" w:rsidP="00BA623E"/>
  <w:p w14:paraId="33F767BA" w14:textId="77777777" w:rsidR="00AA7546" w:rsidRDefault="00AA7546" w:rsidP="00BA623E"/>
  <w:p w14:paraId="35530EC2" w14:textId="77777777" w:rsidR="00AA7546" w:rsidRDefault="00AA7546" w:rsidP="00BA623E"/>
  <w:p w14:paraId="4E69E731" w14:textId="77777777" w:rsidR="00AA7546" w:rsidRDefault="00AA7546" w:rsidP="00BA623E"/>
  <w:p w14:paraId="4FD71DEA" w14:textId="77777777" w:rsidR="00AA7546" w:rsidRDefault="00AA7546" w:rsidP="00BA623E"/>
  <w:p w14:paraId="0AA36F0E" w14:textId="77777777" w:rsidR="00AA7546" w:rsidRDefault="00AA7546" w:rsidP="00BA623E"/>
  <w:p w14:paraId="3AE825C8" w14:textId="77777777" w:rsidR="00AA7546" w:rsidRDefault="00AA7546" w:rsidP="00BA623E"/>
  <w:p w14:paraId="76FE3E3F" w14:textId="77777777" w:rsidR="00AA7546" w:rsidRDefault="00AA7546" w:rsidP="00BA623E"/>
  <w:p w14:paraId="12A6F9DD" w14:textId="77777777" w:rsidR="00AA7546" w:rsidRDefault="00AA7546" w:rsidP="00BA623E"/>
  <w:p w14:paraId="2ACC5A3E" w14:textId="77777777" w:rsidR="00AA7546" w:rsidRDefault="00AA7546" w:rsidP="00BA623E"/>
  <w:p w14:paraId="7CAED6E2" w14:textId="77777777" w:rsidR="00AA7546" w:rsidRDefault="00AA7546" w:rsidP="00BA623E"/>
  <w:p w14:paraId="5A769E8D" w14:textId="77777777" w:rsidR="00AA7546" w:rsidRDefault="00AA7546" w:rsidP="00BA623E"/>
  <w:p w14:paraId="13AD6A35" w14:textId="77777777" w:rsidR="00AA7546" w:rsidRDefault="00AA7546" w:rsidP="00BA623E"/>
  <w:p w14:paraId="7ED024B4" w14:textId="77777777" w:rsidR="00AA7546" w:rsidRDefault="00AA7546" w:rsidP="00BA623E"/>
  <w:p w14:paraId="121D091A" w14:textId="77777777" w:rsidR="00AA7546" w:rsidRDefault="00AA7546" w:rsidP="00BA623E"/>
  <w:p w14:paraId="7EF2D9B9" w14:textId="77777777" w:rsidR="00AA7546" w:rsidRDefault="00AA7546" w:rsidP="00BA623E"/>
  <w:p w14:paraId="45977FA6" w14:textId="77777777" w:rsidR="00AA7546" w:rsidRDefault="00AA7546" w:rsidP="00BA623E"/>
  <w:p w14:paraId="6008DD71" w14:textId="77777777" w:rsidR="00AA7546" w:rsidRDefault="00AA7546" w:rsidP="00BA623E"/>
  <w:p w14:paraId="4F242598" w14:textId="77777777" w:rsidR="00AA7546" w:rsidRDefault="00AA7546" w:rsidP="00BA623E"/>
  <w:p w14:paraId="38C3277D" w14:textId="77777777" w:rsidR="00AA7546" w:rsidRDefault="00AA7546" w:rsidP="00BA623E"/>
  <w:p w14:paraId="31CEB623" w14:textId="77777777" w:rsidR="00AA7546" w:rsidRDefault="00AA7546" w:rsidP="00BA623E"/>
  <w:p w14:paraId="622E1A61" w14:textId="77777777" w:rsidR="00AA7546" w:rsidRDefault="00AA7546" w:rsidP="00BA623E"/>
  <w:p w14:paraId="1DB6E7E3" w14:textId="77777777" w:rsidR="00AA7546" w:rsidRDefault="00AA7546" w:rsidP="00BA623E"/>
  <w:p w14:paraId="0CEAB17B" w14:textId="77777777" w:rsidR="00AA7546" w:rsidRDefault="00AA7546" w:rsidP="00BA623E"/>
  <w:p w14:paraId="22A77023" w14:textId="77777777" w:rsidR="00AA7546" w:rsidRDefault="00AA7546" w:rsidP="00BA623E"/>
  <w:p w14:paraId="0C85A7E3" w14:textId="77777777" w:rsidR="00AA7546" w:rsidRDefault="00AA7546" w:rsidP="00BA623E"/>
  <w:p w14:paraId="7E8679A4" w14:textId="77777777" w:rsidR="00AA7546" w:rsidRDefault="00AA7546" w:rsidP="00BA623E"/>
  <w:p w14:paraId="07F5820A" w14:textId="77777777" w:rsidR="00AA7546" w:rsidRDefault="00AA7546" w:rsidP="00BA623E"/>
  <w:p w14:paraId="708A7E0A" w14:textId="77777777" w:rsidR="00AA7546" w:rsidRDefault="00AA7546" w:rsidP="00BA623E"/>
  <w:p w14:paraId="0C123F9F" w14:textId="77777777" w:rsidR="00AA7546" w:rsidRDefault="00AA7546" w:rsidP="00BA623E"/>
  <w:p w14:paraId="331F5F26" w14:textId="77777777" w:rsidR="00AA7546" w:rsidRDefault="00AA7546" w:rsidP="00BA623E"/>
  <w:p w14:paraId="55920AF9" w14:textId="77777777" w:rsidR="00AA7546" w:rsidRDefault="00AA7546" w:rsidP="00BA623E"/>
  <w:p w14:paraId="5EBBC7F3" w14:textId="77777777" w:rsidR="00AA7546" w:rsidRDefault="00AA7546" w:rsidP="00BA623E"/>
  <w:p w14:paraId="64F298C8" w14:textId="77777777" w:rsidR="00AA7546" w:rsidRDefault="00AA7546" w:rsidP="00BA623E"/>
  <w:p w14:paraId="49DC12E3" w14:textId="77777777" w:rsidR="00AA7546" w:rsidRDefault="00AA7546" w:rsidP="00BA623E"/>
  <w:p w14:paraId="1ACD6D54" w14:textId="77777777" w:rsidR="00AA7546" w:rsidRDefault="00AA7546" w:rsidP="00BA623E"/>
  <w:p w14:paraId="55E7E158" w14:textId="77777777" w:rsidR="00AA7546" w:rsidRDefault="00AA7546" w:rsidP="00BA623E"/>
  <w:p w14:paraId="3BBCBECB" w14:textId="77777777" w:rsidR="00AA7546" w:rsidRDefault="00AA7546" w:rsidP="00BA623E"/>
  <w:p w14:paraId="52F032B5" w14:textId="77777777" w:rsidR="00AA7546" w:rsidRDefault="00AA7546" w:rsidP="00BA623E"/>
  <w:p w14:paraId="63D63619" w14:textId="77777777" w:rsidR="00AA7546" w:rsidRDefault="00AA7546" w:rsidP="00BA623E"/>
  <w:p w14:paraId="2BE64FF3" w14:textId="77777777" w:rsidR="00AA7546" w:rsidRDefault="00AA7546" w:rsidP="00BA623E"/>
  <w:p w14:paraId="3D95E236" w14:textId="77777777" w:rsidR="00AA7546" w:rsidRDefault="00AA7546" w:rsidP="00BA623E"/>
  <w:p w14:paraId="3A140FA7" w14:textId="77777777" w:rsidR="00AA7546" w:rsidRDefault="00AA7546" w:rsidP="00BA623E"/>
  <w:p w14:paraId="2EA951EF" w14:textId="77777777" w:rsidR="00AA7546" w:rsidRDefault="00AA7546" w:rsidP="00BA623E"/>
  <w:p w14:paraId="30B9169E" w14:textId="77777777" w:rsidR="00AA7546" w:rsidRDefault="00AA7546" w:rsidP="00BA623E"/>
  <w:p w14:paraId="47A5683D" w14:textId="77777777" w:rsidR="00AA7546" w:rsidRDefault="00AA7546" w:rsidP="00BA623E"/>
  <w:p w14:paraId="2F9CD8E2" w14:textId="77777777" w:rsidR="00AA7546" w:rsidRDefault="00AA7546" w:rsidP="00BA623E"/>
  <w:p w14:paraId="2F391F15" w14:textId="77777777" w:rsidR="00AA7546" w:rsidRDefault="00AA7546" w:rsidP="00BA623E"/>
  <w:p w14:paraId="3D6A3F52" w14:textId="77777777" w:rsidR="00AA7546" w:rsidRDefault="00AA7546" w:rsidP="00BA623E"/>
  <w:p w14:paraId="300C0CB3" w14:textId="77777777" w:rsidR="00AA7546" w:rsidRDefault="00AA7546" w:rsidP="00BA623E"/>
  <w:p w14:paraId="594FF5AF" w14:textId="77777777" w:rsidR="00AA7546" w:rsidRDefault="00AA7546" w:rsidP="00BA623E"/>
  <w:p w14:paraId="6B911F6D" w14:textId="77777777" w:rsidR="00AA7546" w:rsidRDefault="00AA7546" w:rsidP="00BA623E"/>
  <w:p w14:paraId="396F852B" w14:textId="77777777" w:rsidR="00AA7546" w:rsidRDefault="00AA7546" w:rsidP="00BA623E"/>
  <w:p w14:paraId="0654A41B" w14:textId="77777777" w:rsidR="00AA7546" w:rsidRDefault="00AA7546" w:rsidP="00BA623E"/>
  <w:p w14:paraId="78285F58" w14:textId="77777777" w:rsidR="00AA7546" w:rsidRDefault="00AA7546" w:rsidP="00BA623E"/>
  <w:p w14:paraId="3FDEB45F" w14:textId="77777777" w:rsidR="00AA7546" w:rsidRDefault="00AA7546" w:rsidP="00BA623E"/>
  <w:p w14:paraId="5DBA6EA9" w14:textId="77777777" w:rsidR="00AA7546" w:rsidRDefault="00AA7546" w:rsidP="00BA623E"/>
  <w:p w14:paraId="5434348B" w14:textId="77777777" w:rsidR="00AA7546" w:rsidRDefault="00AA7546" w:rsidP="00BA623E"/>
  <w:p w14:paraId="71D08897" w14:textId="77777777" w:rsidR="00AA7546" w:rsidRDefault="00AA7546" w:rsidP="00BA623E"/>
  <w:p w14:paraId="68150FB9" w14:textId="77777777" w:rsidR="00AA7546" w:rsidRDefault="00AA7546" w:rsidP="00BA623E"/>
  <w:p w14:paraId="0B092A9D" w14:textId="77777777" w:rsidR="00AA7546" w:rsidRDefault="00AA7546" w:rsidP="00CA0972"/>
  <w:p w14:paraId="79B48CEB" w14:textId="77777777" w:rsidR="00AA7546" w:rsidRDefault="00AA7546" w:rsidP="004278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974"/>
      <w:gridCol w:w="4962"/>
    </w:tblGrid>
    <w:tr w:rsidR="00AA7546" w14:paraId="4E855259" w14:textId="77777777" w:rsidTr="00454F0E">
      <w:tc>
        <w:tcPr>
          <w:tcW w:w="5076" w:type="dxa"/>
          <w:tcBorders>
            <w:top w:val="single" w:sz="4" w:space="0" w:color="auto"/>
          </w:tcBorders>
          <w:shd w:val="clear" w:color="auto" w:fill="auto"/>
        </w:tcPr>
        <w:p w14:paraId="6F709CDB" w14:textId="77777777" w:rsidR="00AA7546" w:rsidRPr="00454F0E" w:rsidRDefault="0022669A" w:rsidP="00454F0E">
          <w:pPr>
            <w:spacing w:after="0"/>
            <w:rPr>
              <w:sz w:val="16"/>
              <w:szCs w:val="16"/>
            </w:rPr>
          </w:pPr>
          <w:r>
            <w:rPr>
              <w:sz w:val="16"/>
              <w:szCs w:val="16"/>
            </w:rPr>
            <w:t>Standard Operating Procedures</w:t>
          </w:r>
          <w:r w:rsidR="00AA7546" w:rsidRPr="00454F0E">
            <w:rPr>
              <w:sz w:val="16"/>
              <w:szCs w:val="16"/>
            </w:rPr>
            <w:t xml:space="preserve"> (</w:t>
          </w:r>
          <w:r>
            <w:rPr>
              <w:sz w:val="16"/>
              <w:szCs w:val="16"/>
            </w:rPr>
            <w:t>SOPs</w:t>
          </w:r>
          <w:r w:rsidR="00AA7546" w:rsidRPr="00454F0E">
            <w:rPr>
              <w:sz w:val="16"/>
              <w:szCs w:val="16"/>
            </w:rPr>
            <w:t>)</w:t>
          </w:r>
        </w:p>
      </w:tc>
      <w:tc>
        <w:tcPr>
          <w:tcW w:w="5076" w:type="dxa"/>
          <w:tcBorders>
            <w:top w:val="single" w:sz="4" w:space="0" w:color="auto"/>
          </w:tcBorders>
          <w:shd w:val="clear" w:color="auto" w:fill="auto"/>
        </w:tcPr>
        <w:p w14:paraId="4E3E7E6F" w14:textId="0AF16912" w:rsidR="00AA7546" w:rsidRPr="00454F0E" w:rsidRDefault="00AA7546" w:rsidP="00454F0E">
          <w:pPr>
            <w:pStyle w:val="FooterRight"/>
            <w:spacing w:after="0"/>
            <w:rPr>
              <w:sz w:val="16"/>
              <w:szCs w:val="16"/>
            </w:rPr>
          </w:pPr>
          <w:r w:rsidRPr="00454F0E">
            <w:rPr>
              <w:sz w:val="16"/>
              <w:szCs w:val="16"/>
            </w:rPr>
            <w:t xml:space="preserve">          Page </w:t>
          </w:r>
          <w:r w:rsidRPr="00454F0E">
            <w:rPr>
              <w:sz w:val="16"/>
              <w:szCs w:val="16"/>
            </w:rPr>
            <w:fldChar w:fldCharType="begin"/>
          </w:r>
          <w:r w:rsidRPr="00454F0E">
            <w:rPr>
              <w:sz w:val="16"/>
              <w:szCs w:val="16"/>
            </w:rPr>
            <w:instrText xml:space="preserve"> PAGE </w:instrText>
          </w:r>
          <w:r w:rsidRPr="00454F0E">
            <w:rPr>
              <w:sz w:val="16"/>
              <w:szCs w:val="16"/>
            </w:rPr>
            <w:fldChar w:fldCharType="separate"/>
          </w:r>
          <w:r w:rsidR="00C63F02">
            <w:rPr>
              <w:noProof/>
              <w:sz w:val="16"/>
              <w:szCs w:val="16"/>
            </w:rPr>
            <w:t>8</w:t>
          </w:r>
          <w:r w:rsidRPr="00454F0E">
            <w:rPr>
              <w:sz w:val="16"/>
              <w:szCs w:val="16"/>
            </w:rPr>
            <w:fldChar w:fldCharType="end"/>
          </w:r>
          <w:r w:rsidRPr="00454F0E">
            <w:rPr>
              <w:sz w:val="16"/>
              <w:szCs w:val="16"/>
            </w:rPr>
            <w:t xml:space="preserve"> of </w:t>
          </w:r>
          <w:r w:rsidRPr="00454F0E">
            <w:rPr>
              <w:sz w:val="16"/>
              <w:szCs w:val="16"/>
            </w:rPr>
            <w:fldChar w:fldCharType="begin"/>
          </w:r>
          <w:r w:rsidRPr="00454F0E">
            <w:rPr>
              <w:sz w:val="16"/>
              <w:szCs w:val="16"/>
            </w:rPr>
            <w:instrText xml:space="preserve"> NUMPAGES </w:instrText>
          </w:r>
          <w:r w:rsidRPr="00454F0E">
            <w:rPr>
              <w:sz w:val="16"/>
              <w:szCs w:val="16"/>
            </w:rPr>
            <w:fldChar w:fldCharType="separate"/>
          </w:r>
          <w:r w:rsidR="00C63F02">
            <w:rPr>
              <w:noProof/>
              <w:sz w:val="16"/>
              <w:szCs w:val="16"/>
            </w:rPr>
            <w:t>8</w:t>
          </w:r>
          <w:r w:rsidRPr="00454F0E">
            <w:rPr>
              <w:sz w:val="16"/>
              <w:szCs w:val="16"/>
            </w:rPr>
            <w:fldChar w:fldCharType="end"/>
          </w:r>
        </w:p>
      </w:tc>
    </w:tr>
    <w:tr w:rsidR="00AA7546" w14:paraId="437A024B" w14:textId="77777777" w:rsidTr="00454F0E">
      <w:tc>
        <w:tcPr>
          <w:tcW w:w="5076" w:type="dxa"/>
          <w:shd w:val="clear" w:color="auto" w:fill="auto"/>
        </w:tcPr>
        <w:p w14:paraId="6BB4FAFE" w14:textId="77777777" w:rsidR="00AA7546" w:rsidRPr="00454F0E" w:rsidRDefault="00AA7546" w:rsidP="00454F0E">
          <w:pPr>
            <w:spacing w:after="0"/>
            <w:rPr>
              <w:sz w:val="16"/>
              <w:szCs w:val="16"/>
            </w:rPr>
          </w:pPr>
          <w:r w:rsidRPr="00454F0E">
            <w:rPr>
              <w:sz w:val="16"/>
              <w:szCs w:val="16"/>
            </w:rPr>
            <w:t xml:space="preserve">Template Version </w:t>
          </w:r>
          <w:r w:rsidR="0022669A">
            <w:rPr>
              <w:sz w:val="16"/>
              <w:szCs w:val="16"/>
            </w:rPr>
            <w:t>0.1</w:t>
          </w:r>
          <w:r w:rsidRPr="00454F0E">
            <w:rPr>
              <w:sz w:val="16"/>
              <w:szCs w:val="16"/>
            </w:rPr>
            <w:t xml:space="preserve">, </w:t>
          </w:r>
          <w:r w:rsidR="0022669A">
            <w:rPr>
              <w:sz w:val="16"/>
              <w:szCs w:val="16"/>
            </w:rPr>
            <w:t>13-01-</w:t>
          </w:r>
          <w:r w:rsidRPr="00454F0E">
            <w:rPr>
              <w:sz w:val="16"/>
              <w:szCs w:val="16"/>
            </w:rPr>
            <w:t>20</w:t>
          </w:r>
          <w:r w:rsidR="0022669A">
            <w:rPr>
              <w:sz w:val="16"/>
              <w:szCs w:val="16"/>
            </w:rPr>
            <w:t>20</w:t>
          </w:r>
        </w:p>
      </w:tc>
      <w:tc>
        <w:tcPr>
          <w:tcW w:w="5076" w:type="dxa"/>
          <w:shd w:val="clear" w:color="auto" w:fill="auto"/>
        </w:tcPr>
        <w:p w14:paraId="190DDA3D" w14:textId="77777777" w:rsidR="00AA7546" w:rsidRPr="00454F0E" w:rsidRDefault="00AA7546" w:rsidP="00454F0E">
          <w:pPr>
            <w:pStyle w:val="FooterRight"/>
            <w:spacing w:after="0"/>
            <w:rPr>
              <w:sz w:val="16"/>
              <w:szCs w:val="16"/>
            </w:rPr>
          </w:pPr>
        </w:p>
      </w:tc>
    </w:tr>
    <w:tr w:rsidR="00AA7546" w14:paraId="51390FE9" w14:textId="77777777" w:rsidTr="00454F0E">
      <w:tc>
        <w:tcPr>
          <w:tcW w:w="5076" w:type="dxa"/>
          <w:shd w:val="clear" w:color="auto" w:fill="auto"/>
        </w:tcPr>
        <w:p w14:paraId="3AB6D090" w14:textId="77777777" w:rsidR="00AA7546" w:rsidRPr="00454F0E" w:rsidRDefault="00AA7546" w:rsidP="00454F0E">
          <w:pPr>
            <w:spacing w:after="0"/>
            <w:rPr>
              <w:sz w:val="16"/>
              <w:szCs w:val="16"/>
            </w:rPr>
          </w:pPr>
        </w:p>
      </w:tc>
      <w:tc>
        <w:tcPr>
          <w:tcW w:w="5076" w:type="dxa"/>
          <w:shd w:val="clear" w:color="auto" w:fill="auto"/>
        </w:tcPr>
        <w:p w14:paraId="126BEB93" w14:textId="77777777" w:rsidR="00AA7546" w:rsidRPr="00454F0E" w:rsidRDefault="00AA7546" w:rsidP="00454F0E">
          <w:pPr>
            <w:pStyle w:val="FooterRight"/>
            <w:spacing w:after="0"/>
            <w:rPr>
              <w:sz w:val="16"/>
              <w:szCs w:val="16"/>
            </w:rPr>
          </w:pPr>
        </w:p>
      </w:tc>
    </w:tr>
  </w:tbl>
  <w:p w14:paraId="15244F9D" w14:textId="77777777" w:rsidR="00AA7546" w:rsidRDefault="00AA7546" w:rsidP="00427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974"/>
      <w:gridCol w:w="4962"/>
    </w:tblGrid>
    <w:tr w:rsidR="00AA7546" w14:paraId="4546146F" w14:textId="77777777" w:rsidTr="00454F0E">
      <w:tc>
        <w:tcPr>
          <w:tcW w:w="5076" w:type="dxa"/>
          <w:tcBorders>
            <w:top w:val="single" w:sz="4" w:space="0" w:color="auto"/>
          </w:tcBorders>
          <w:shd w:val="clear" w:color="auto" w:fill="auto"/>
        </w:tcPr>
        <w:p w14:paraId="378A3D4E" w14:textId="77777777" w:rsidR="00AA7546" w:rsidRPr="00454F0E" w:rsidRDefault="00AA7546" w:rsidP="00454F0E">
          <w:pPr>
            <w:spacing w:after="0"/>
            <w:rPr>
              <w:sz w:val="16"/>
              <w:szCs w:val="16"/>
            </w:rPr>
          </w:pPr>
          <w:r w:rsidRPr="00454F0E">
            <w:rPr>
              <w:sz w:val="16"/>
              <w:szCs w:val="16"/>
            </w:rPr>
            <w:t>Operational Procedure Manual (OPM)</w:t>
          </w:r>
        </w:p>
      </w:tc>
      <w:tc>
        <w:tcPr>
          <w:tcW w:w="5076" w:type="dxa"/>
          <w:tcBorders>
            <w:top w:val="single" w:sz="4" w:space="0" w:color="auto"/>
          </w:tcBorders>
          <w:shd w:val="clear" w:color="auto" w:fill="auto"/>
        </w:tcPr>
        <w:p w14:paraId="4D5EB4AC" w14:textId="7AABAB04" w:rsidR="00AA7546" w:rsidRPr="00454F0E" w:rsidRDefault="00AA7546" w:rsidP="00454F0E">
          <w:pPr>
            <w:pStyle w:val="FooterRight"/>
            <w:spacing w:after="0"/>
            <w:rPr>
              <w:sz w:val="16"/>
              <w:szCs w:val="16"/>
            </w:rPr>
          </w:pPr>
          <w:r w:rsidRPr="00454F0E">
            <w:rPr>
              <w:sz w:val="16"/>
              <w:szCs w:val="16"/>
            </w:rPr>
            <w:t xml:space="preserve">          Page </w:t>
          </w:r>
          <w:r w:rsidRPr="00454F0E">
            <w:rPr>
              <w:sz w:val="16"/>
              <w:szCs w:val="16"/>
            </w:rPr>
            <w:fldChar w:fldCharType="begin"/>
          </w:r>
          <w:r w:rsidRPr="00454F0E">
            <w:rPr>
              <w:sz w:val="16"/>
              <w:szCs w:val="16"/>
            </w:rPr>
            <w:instrText xml:space="preserve"> PAGE </w:instrText>
          </w:r>
          <w:r w:rsidRPr="00454F0E">
            <w:rPr>
              <w:sz w:val="16"/>
              <w:szCs w:val="16"/>
            </w:rPr>
            <w:fldChar w:fldCharType="separate"/>
          </w:r>
          <w:r w:rsidR="00C63F02">
            <w:rPr>
              <w:noProof/>
              <w:sz w:val="16"/>
              <w:szCs w:val="16"/>
            </w:rPr>
            <w:t>1</w:t>
          </w:r>
          <w:r w:rsidRPr="00454F0E">
            <w:rPr>
              <w:sz w:val="16"/>
              <w:szCs w:val="16"/>
            </w:rPr>
            <w:fldChar w:fldCharType="end"/>
          </w:r>
          <w:r w:rsidRPr="00454F0E">
            <w:rPr>
              <w:sz w:val="16"/>
              <w:szCs w:val="16"/>
            </w:rPr>
            <w:t xml:space="preserve"> of </w:t>
          </w:r>
          <w:r w:rsidRPr="00454F0E">
            <w:rPr>
              <w:sz w:val="16"/>
              <w:szCs w:val="16"/>
            </w:rPr>
            <w:fldChar w:fldCharType="begin"/>
          </w:r>
          <w:r w:rsidRPr="00454F0E">
            <w:rPr>
              <w:sz w:val="16"/>
              <w:szCs w:val="16"/>
            </w:rPr>
            <w:instrText xml:space="preserve"> NUMPAGES </w:instrText>
          </w:r>
          <w:r w:rsidRPr="00454F0E">
            <w:rPr>
              <w:sz w:val="16"/>
              <w:szCs w:val="16"/>
            </w:rPr>
            <w:fldChar w:fldCharType="separate"/>
          </w:r>
          <w:r w:rsidR="00C63F02">
            <w:rPr>
              <w:noProof/>
              <w:sz w:val="16"/>
              <w:szCs w:val="16"/>
            </w:rPr>
            <w:t>8</w:t>
          </w:r>
          <w:r w:rsidRPr="00454F0E">
            <w:rPr>
              <w:sz w:val="16"/>
              <w:szCs w:val="16"/>
            </w:rPr>
            <w:fldChar w:fldCharType="end"/>
          </w:r>
        </w:p>
      </w:tc>
    </w:tr>
    <w:tr w:rsidR="00AA7546" w14:paraId="1D6C84D2" w14:textId="77777777" w:rsidTr="00454F0E">
      <w:tc>
        <w:tcPr>
          <w:tcW w:w="5076" w:type="dxa"/>
          <w:shd w:val="clear" w:color="auto" w:fill="auto"/>
        </w:tcPr>
        <w:p w14:paraId="2C8ABA05" w14:textId="77777777" w:rsidR="00AA7546" w:rsidRPr="00454F0E" w:rsidRDefault="00AA7546" w:rsidP="004C045B">
          <w:pPr>
            <w:spacing w:after="0"/>
            <w:rPr>
              <w:sz w:val="16"/>
              <w:szCs w:val="16"/>
            </w:rPr>
          </w:pPr>
          <w:r w:rsidRPr="00454F0E">
            <w:rPr>
              <w:sz w:val="16"/>
              <w:szCs w:val="16"/>
            </w:rPr>
            <w:t>Template Version 3.7, 201</w:t>
          </w:r>
          <w:r w:rsidR="004C045B">
            <w:rPr>
              <w:sz w:val="16"/>
              <w:szCs w:val="16"/>
            </w:rPr>
            <w:t>3-11-12</w:t>
          </w:r>
        </w:p>
      </w:tc>
      <w:tc>
        <w:tcPr>
          <w:tcW w:w="5076" w:type="dxa"/>
          <w:shd w:val="clear" w:color="auto" w:fill="auto"/>
        </w:tcPr>
        <w:p w14:paraId="610F2788" w14:textId="77777777" w:rsidR="00AA7546" w:rsidRPr="005A357E" w:rsidRDefault="00AA7546" w:rsidP="00454F0E">
          <w:pPr>
            <w:pStyle w:val="FooterRight"/>
            <w:spacing w:after="0"/>
          </w:pPr>
        </w:p>
      </w:tc>
    </w:tr>
    <w:tr w:rsidR="00AA7546" w14:paraId="14B94590" w14:textId="77777777" w:rsidTr="00454F0E">
      <w:tc>
        <w:tcPr>
          <w:tcW w:w="5076" w:type="dxa"/>
          <w:shd w:val="clear" w:color="auto" w:fill="auto"/>
        </w:tcPr>
        <w:p w14:paraId="67301BCB" w14:textId="77777777" w:rsidR="00AA7546" w:rsidRPr="00454F0E" w:rsidRDefault="00AA7546" w:rsidP="00454F0E">
          <w:pPr>
            <w:spacing w:after="0"/>
            <w:rPr>
              <w:sz w:val="16"/>
              <w:szCs w:val="16"/>
            </w:rPr>
          </w:pPr>
        </w:p>
      </w:tc>
      <w:tc>
        <w:tcPr>
          <w:tcW w:w="5076" w:type="dxa"/>
          <w:shd w:val="clear" w:color="auto" w:fill="auto"/>
        </w:tcPr>
        <w:p w14:paraId="3BA71ABB" w14:textId="77777777" w:rsidR="00AA7546" w:rsidRPr="005A357E" w:rsidRDefault="00AA7546" w:rsidP="00454F0E">
          <w:pPr>
            <w:pStyle w:val="FooterRight"/>
            <w:spacing w:after="0"/>
          </w:pPr>
        </w:p>
      </w:tc>
    </w:tr>
  </w:tbl>
  <w:p w14:paraId="22AE5FAF" w14:textId="77777777" w:rsidR="00AA7546" w:rsidRDefault="00AA7546" w:rsidP="004278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A2D63" w14:textId="77777777" w:rsidR="006C409F" w:rsidRDefault="006C409F" w:rsidP="00BA623E">
      <w:r>
        <w:separator/>
      </w:r>
    </w:p>
    <w:p w14:paraId="48BC06EE" w14:textId="77777777" w:rsidR="006C409F" w:rsidRDefault="006C409F" w:rsidP="00BA623E"/>
    <w:p w14:paraId="7062BBBD" w14:textId="77777777" w:rsidR="006C409F" w:rsidRDefault="006C409F" w:rsidP="00BA623E"/>
    <w:p w14:paraId="16C9355A" w14:textId="77777777" w:rsidR="006C409F" w:rsidRDefault="006C409F" w:rsidP="00BA623E"/>
    <w:p w14:paraId="4010828E" w14:textId="77777777" w:rsidR="006C409F" w:rsidRDefault="006C409F" w:rsidP="00BA623E"/>
    <w:p w14:paraId="546D58A7" w14:textId="77777777" w:rsidR="006C409F" w:rsidRDefault="006C409F" w:rsidP="00BA623E"/>
    <w:p w14:paraId="01EEDB0F" w14:textId="77777777" w:rsidR="006C409F" w:rsidRDefault="006C409F" w:rsidP="00BA623E"/>
    <w:p w14:paraId="43568080" w14:textId="77777777" w:rsidR="006C409F" w:rsidRDefault="006C409F" w:rsidP="00BA623E"/>
    <w:p w14:paraId="688C953A" w14:textId="77777777" w:rsidR="006C409F" w:rsidRDefault="006C409F" w:rsidP="00BA623E"/>
    <w:p w14:paraId="7445C409" w14:textId="77777777" w:rsidR="006C409F" w:rsidRDefault="006C409F" w:rsidP="00BA623E"/>
    <w:p w14:paraId="337E71AD" w14:textId="77777777" w:rsidR="006C409F" w:rsidRDefault="006C409F" w:rsidP="00BA623E"/>
    <w:p w14:paraId="14DBBC9D" w14:textId="77777777" w:rsidR="006C409F" w:rsidRDefault="006C409F" w:rsidP="00BA623E"/>
    <w:p w14:paraId="4CDF8071" w14:textId="77777777" w:rsidR="006C409F" w:rsidRDefault="006C409F" w:rsidP="00BA623E"/>
    <w:p w14:paraId="354F4BBD" w14:textId="77777777" w:rsidR="006C409F" w:rsidRDefault="006C409F" w:rsidP="00BA623E"/>
    <w:p w14:paraId="3E195F96" w14:textId="77777777" w:rsidR="006C409F" w:rsidRDefault="006C409F" w:rsidP="00BA623E"/>
    <w:p w14:paraId="6E74D3BB" w14:textId="77777777" w:rsidR="006C409F" w:rsidRDefault="006C409F" w:rsidP="00BA623E"/>
    <w:p w14:paraId="12EBAFC3" w14:textId="77777777" w:rsidR="006C409F" w:rsidRDefault="006C409F" w:rsidP="00BA623E"/>
    <w:p w14:paraId="76C28502" w14:textId="77777777" w:rsidR="006C409F" w:rsidRDefault="006C409F" w:rsidP="00BA623E"/>
    <w:p w14:paraId="1F758E45" w14:textId="77777777" w:rsidR="006C409F" w:rsidRDefault="006C409F" w:rsidP="00BA623E"/>
    <w:p w14:paraId="7BDFC04F" w14:textId="77777777" w:rsidR="006C409F" w:rsidRDefault="006C409F" w:rsidP="00BA623E"/>
    <w:p w14:paraId="51E18F55" w14:textId="77777777" w:rsidR="006C409F" w:rsidRDefault="006C409F" w:rsidP="00BA623E"/>
    <w:p w14:paraId="55449ACD" w14:textId="77777777" w:rsidR="006C409F" w:rsidRDefault="006C409F" w:rsidP="00BA623E"/>
    <w:p w14:paraId="43F38C08" w14:textId="77777777" w:rsidR="006C409F" w:rsidRDefault="006C409F" w:rsidP="00BA623E"/>
    <w:p w14:paraId="714FD569" w14:textId="77777777" w:rsidR="006C409F" w:rsidRDefault="006C409F" w:rsidP="00BA623E"/>
    <w:p w14:paraId="1EBB1A6D" w14:textId="77777777" w:rsidR="006C409F" w:rsidRDefault="006C409F" w:rsidP="00BA623E"/>
    <w:p w14:paraId="0AF1960D" w14:textId="77777777" w:rsidR="006C409F" w:rsidRDefault="006C409F" w:rsidP="00BA623E"/>
    <w:p w14:paraId="71162B04" w14:textId="77777777" w:rsidR="006C409F" w:rsidRDefault="006C409F" w:rsidP="00BA623E"/>
    <w:p w14:paraId="7A7D1E6D" w14:textId="77777777" w:rsidR="006C409F" w:rsidRDefault="006C409F" w:rsidP="00BA623E"/>
    <w:p w14:paraId="2D05440B" w14:textId="77777777" w:rsidR="006C409F" w:rsidRDefault="006C409F" w:rsidP="00BA623E"/>
    <w:p w14:paraId="3E102AFE" w14:textId="77777777" w:rsidR="006C409F" w:rsidRDefault="006C409F" w:rsidP="00BA623E"/>
    <w:p w14:paraId="0D4E39AE" w14:textId="77777777" w:rsidR="006C409F" w:rsidRDefault="006C409F" w:rsidP="00BA623E"/>
    <w:p w14:paraId="0D076ECD" w14:textId="77777777" w:rsidR="006C409F" w:rsidRDefault="006C409F" w:rsidP="00BA623E"/>
    <w:p w14:paraId="713276DA" w14:textId="77777777" w:rsidR="006C409F" w:rsidRDefault="006C409F" w:rsidP="00BA623E"/>
    <w:p w14:paraId="380674DE" w14:textId="77777777" w:rsidR="006C409F" w:rsidRDefault="006C409F" w:rsidP="00BA623E"/>
    <w:p w14:paraId="6ABE433C" w14:textId="77777777" w:rsidR="006C409F" w:rsidRDefault="006C409F" w:rsidP="00BA623E"/>
    <w:p w14:paraId="202645CA" w14:textId="77777777" w:rsidR="006C409F" w:rsidRDefault="006C409F" w:rsidP="00BA623E"/>
    <w:p w14:paraId="77502CEC" w14:textId="77777777" w:rsidR="006C409F" w:rsidRDefault="006C409F" w:rsidP="00BA623E"/>
    <w:p w14:paraId="59D85211" w14:textId="77777777" w:rsidR="006C409F" w:rsidRDefault="006C409F" w:rsidP="00BA623E"/>
    <w:p w14:paraId="5AD14B96" w14:textId="77777777" w:rsidR="006C409F" w:rsidRDefault="006C409F" w:rsidP="00BA623E"/>
    <w:p w14:paraId="2A4DAB89" w14:textId="77777777" w:rsidR="006C409F" w:rsidRDefault="006C409F" w:rsidP="00BA623E"/>
    <w:p w14:paraId="00BA6BC8" w14:textId="77777777" w:rsidR="006C409F" w:rsidRDefault="006C409F" w:rsidP="00BA623E"/>
    <w:p w14:paraId="0AC5964D" w14:textId="77777777" w:rsidR="006C409F" w:rsidRDefault="006C409F" w:rsidP="00BA623E"/>
    <w:p w14:paraId="5923B5C1" w14:textId="77777777" w:rsidR="006C409F" w:rsidRDefault="006C409F" w:rsidP="00BA623E"/>
    <w:p w14:paraId="4A0091C7" w14:textId="77777777" w:rsidR="006C409F" w:rsidRDefault="006C409F" w:rsidP="00BA623E"/>
    <w:p w14:paraId="12E56D97" w14:textId="77777777" w:rsidR="006C409F" w:rsidRDefault="006C409F" w:rsidP="00BA623E"/>
    <w:p w14:paraId="06A9FBB9" w14:textId="77777777" w:rsidR="006C409F" w:rsidRDefault="006C409F" w:rsidP="00BA623E"/>
    <w:p w14:paraId="422A8EB8" w14:textId="77777777" w:rsidR="006C409F" w:rsidRDefault="006C409F" w:rsidP="00BA623E"/>
    <w:p w14:paraId="75B2109E" w14:textId="77777777" w:rsidR="006C409F" w:rsidRDefault="006C409F" w:rsidP="00BA623E"/>
    <w:p w14:paraId="4B346D31" w14:textId="77777777" w:rsidR="006C409F" w:rsidRDefault="006C409F" w:rsidP="00BA623E"/>
    <w:p w14:paraId="354DCAF1" w14:textId="77777777" w:rsidR="006C409F" w:rsidRDefault="006C409F" w:rsidP="00BA623E"/>
    <w:p w14:paraId="046F46BD" w14:textId="77777777" w:rsidR="006C409F" w:rsidRDefault="006C409F" w:rsidP="00BA623E"/>
    <w:p w14:paraId="3BF96334" w14:textId="77777777" w:rsidR="006C409F" w:rsidRDefault="006C409F" w:rsidP="00BA623E"/>
    <w:p w14:paraId="695F919D" w14:textId="77777777" w:rsidR="006C409F" w:rsidRDefault="006C409F" w:rsidP="00BA623E"/>
    <w:p w14:paraId="12621811" w14:textId="77777777" w:rsidR="006C409F" w:rsidRDefault="006C409F" w:rsidP="00BA623E"/>
    <w:p w14:paraId="58420A75" w14:textId="77777777" w:rsidR="006C409F" w:rsidRDefault="006C409F" w:rsidP="00BA623E"/>
    <w:p w14:paraId="789812E0" w14:textId="77777777" w:rsidR="006C409F" w:rsidRDefault="006C409F" w:rsidP="00BA623E"/>
    <w:p w14:paraId="7D191C8C" w14:textId="77777777" w:rsidR="006C409F" w:rsidRDefault="006C409F" w:rsidP="00BA623E"/>
    <w:p w14:paraId="47692CC2" w14:textId="77777777" w:rsidR="006C409F" w:rsidRDefault="006C409F" w:rsidP="00BA623E"/>
    <w:p w14:paraId="28E6D8BB" w14:textId="77777777" w:rsidR="006C409F" w:rsidRDefault="006C409F" w:rsidP="00BA623E"/>
    <w:p w14:paraId="3B1557FF" w14:textId="77777777" w:rsidR="006C409F" w:rsidRDefault="006C409F" w:rsidP="00BA623E"/>
    <w:p w14:paraId="3CDDB837" w14:textId="77777777" w:rsidR="006C409F" w:rsidRDefault="006C409F" w:rsidP="00BA623E"/>
    <w:p w14:paraId="20F0E302" w14:textId="77777777" w:rsidR="006C409F" w:rsidRDefault="006C409F" w:rsidP="00BA623E"/>
    <w:p w14:paraId="54419313" w14:textId="77777777" w:rsidR="006C409F" w:rsidRDefault="006C409F" w:rsidP="00BA623E"/>
    <w:p w14:paraId="72B42773" w14:textId="77777777" w:rsidR="006C409F" w:rsidRDefault="006C409F" w:rsidP="00BA623E"/>
    <w:p w14:paraId="045A6808" w14:textId="77777777" w:rsidR="006C409F" w:rsidRDefault="006C409F" w:rsidP="00BA623E"/>
    <w:p w14:paraId="1B55BB1F" w14:textId="77777777" w:rsidR="006C409F" w:rsidRDefault="006C409F" w:rsidP="00BA623E"/>
    <w:p w14:paraId="42F8614A" w14:textId="77777777" w:rsidR="006C409F" w:rsidRDefault="006C409F" w:rsidP="00BA623E"/>
    <w:p w14:paraId="4DB9233B" w14:textId="77777777" w:rsidR="006C409F" w:rsidRDefault="006C409F" w:rsidP="00BA623E"/>
    <w:p w14:paraId="528975FC" w14:textId="77777777" w:rsidR="006C409F" w:rsidRDefault="006C409F" w:rsidP="00BA623E"/>
    <w:p w14:paraId="7E801F6E" w14:textId="77777777" w:rsidR="006C409F" w:rsidRDefault="006C409F" w:rsidP="00BA623E"/>
    <w:p w14:paraId="1442CBD4" w14:textId="77777777" w:rsidR="006C409F" w:rsidRDefault="006C409F" w:rsidP="00BA623E"/>
    <w:p w14:paraId="61924A12" w14:textId="77777777" w:rsidR="006C409F" w:rsidRDefault="006C409F" w:rsidP="00BA623E"/>
    <w:p w14:paraId="44308E5F" w14:textId="77777777" w:rsidR="006C409F" w:rsidRDefault="006C409F" w:rsidP="00BA623E"/>
    <w:p w14:paraId="15D2B9B1" w14:textId="77777777" w:rsidR="006C409F" w:rsidRDefault="006C409F" w:rsidP="00BA623E"/>
    <w:p w14:paraId="502A7359" w14:textId="77777777" w:rsidR="006C409F" w:rsidRDefault="006C409F" w:rsidP="00BA623E"/>
    <w:p w14:paraId="0797F214" w14:textId="77777777" w:rsidR="006C409F" w:rsidRDefault="006C409F" w:rsidP="00BA623E"/>
    <w:p w14:paraId="6B2EAD73" w14:textId="77777777" w:rsidR="006C409F" w:rsidRDefault="006C409F"/>
    <w:p w14:paraId="78C0F9DA" w14:textId="77777777" w:rsidR="006C409F" w:rsidRDefault="006C409F"/>
    <w:p w14:paraId="1E3E21C0" w14:textId="77777777" w:rsidR="006C409F" w:rsidRDefault="006C409F"/>
  </w:footnote>
  <w:footnote w:type="continuationSeparator" w:id="0">
    <w:p w14:paraId="5D979CDC" w14:textId="77777777" w:rsidR="006C409F" w:rsidRDefault="006C409F" w:rsidP="00BA623E">
      <w:r>
        <w:continuationSeparator/>
      </w:r>
    </w:p>
    <w:p w14:paraId="1C699B23" w14:textId="77777777" w:rsidR="006C409F" w:rsidRDefault="006C409F" w:rsidP="00BA623E"/>
    <w:p w14:paraId="1A7140D2" w14:textId="77777777" w:rsidR="006C409F" w:rsidRDefault="006C409F" w:rsidP="00BA623E"/>
    <w:p w14:paraId="05D06720" w14:textId="77777777" w:rsidR="006C409F" w:rsidRDefault="006C409F" w:rsidP="00BA623E"/>
    <w:p w14:paraId="2710D7E5" w14:textId="77777777" w:rsidR="006C409F" w:rsidRDefault="006C409F" w:rsidP="00BA623E"/>
    <w:p w14:paraId="4C37388B" w14:textId="77777777" w:rsidR="006C409F" w:rsidRDefault="006C409F" w:rsidP="00BA623E"/>
    <w:p w14:paraId="7D8109DA" w14:textId="77777777" w:rsidR="006C409F" w:rsidRDefault="006C409F" w:rsidP="00BA623E"/>
    <w:p w14:paraId="5A63FCD6" w14:textId="77777777" w:rsidR="006C409F" w:rsidRDefault="006C409F" w:rsidP="00BA623E"/>
    <w:p w14:paraId="48E77555" w14:textId="77777777" w:rsidR="006C409F" w:rsidRDefault="006C409F" w:rsidP="00BA623E"/>
    <w:p w14:paraId="728D24AE" w14:textId="77777777" w:rsidR="006C409F" w:rsidRDefault="006C409F" w:rsidP="00BA623E"/>
    <w:p w14:paraId="2BC50925" w14:textId="77777777" w:rsidR="006C409F" w:rsidRDefault="006C409F" w:rsidP="00BA623E"/>
    <w:p w14:paraId="40FC9381" w14:textId="77777777" w:rsidR="006C409F" w:rsidRDefault="006C409F" w:rsidP="00BA623E"/>
    <w:p w14:paraId="34B38525" w14:textId="77777777" w:rsidR="006C409F" w:rsidRDefault="006C409F" w:rsidP="00BA623E"/>
    <w:p w14:paraId="6607A8A4" w14:textId="77777777" w:rsidR="006C409F" w:rsidRDefault="006C409F" w:rsidP="00BA623E"/>
    <w:p w14:paraId="4EDD915D" w14:textId="77777777" w:rsidR="006C409F" w:rsidRDefault="006C409F" w:rsidP="00BA623E"/>
    <w:p w14:paraId="251E8B4E" w14:textId="77777777" w:rsidR="006C409F" w:rsidRDefault="006C409F" w:rsidP="00BA623E"/>
    <w:p w14:paraId="1FD3061B" w14:textId="77777777" w:rsidR="006C409F" w:rsidRDefault="006C409F" w:rsidP="00BA623E"/>
    <w:p w14:paraId="7D9DFA52" w14:textId="77777777" w:rsidR="006C409F" w:rsidRDefault="006C409F" w:rsidP="00BA623E"/>
    <w:p w14:paraId="309904B1" w14:textId="77777777" w:rsidR="006C409F" w:rsidRDefault="006C409F" w:rsidP="00BA623E"/>
    <w:p w14:paraId="7955B92A" w14:textId="77777777" w:rsidR="006C409F" w:rsidRDefault="006C409F" w:rsidP="00BA623E"/>
    <w:p w14:paraId="68AD694E" w14:textId="77777777" w:rsidR="006C409F" w:rsidRDefault="006C409F" w:rsidP="00BA623E"/>
    <w:p w14:paraId="5FADC8A6" w14:textId="77777777" w:rsidR="006C409F" w:rsidRDefault="006C409F" w:rsidP="00BA623E"/>
    <w:p w14:paraId="28F7770D" w14:textId="77777777" w:rsidR="006C409F" w:rsidRDefault="006C409F" w:rsidP="00BA623E"/>
    <w:p w14:paraId="389EF308" w14:textId="77777777" w:rsidR="006C409F" w:rsidRDefault="006C409F" w:rsidP="00BA623E"/>
    <w:p w14:paraId="44DE546B" w14:textId="77777777" w:rsidR="006C409F" w:rsidRDefault="006C409F" w:rsidP="00BA623E"/>
    <w:p w14:paraId="205976E6" w14:textId="77777777" w:rsidR="006C409F" w:rsidRDefault="006C409F" w:rsidP="00BA623E"/>
    <w:p w14:paraId="233309DB" w14:textId="77777777" w:rsidR="006C409F" w:rsidRDefault="006C409F" w:rsidP="00BA623E"/>
    <w:p w14:paraId="780DE827" w14:textId="77777777" w:rsidR="006C409F" w:rsidRDefault="006C409F" w:rsidP="00BA623E"/>
    <w:p w14:paraId="489018F4" w14:textId="77777777" w:rsidR="006C409F" w:rsidRDefault="006C409F" w:rsidP="00BA623E"/>
    <w:p w14:paraId="5B1A1AFC" w14:textId="77777777" w:rsidR="006C409F" w:rsidRDefault="006C409F" w:rsidP="00BA623E"/>
    <w:p w14:paraId="138A274B" w14:textId="77777777" w:rsidR="006C409F" w:rsidRDefault="006C409F" w:rsidP="00BA623E"/>
    <w:p w14:paraId="36121162" w14:textId="77777777" w:rsidR="006C409F" w:rsidRDefault="006C409F" w:rsidP="00BA623E"/>
    <w:p w14:paraId="6E31ABB9" w14:textId="77777777" w:rsidR="006C409F" w:rsidRDefault="006C409F" w:rsidP="00BA623E"/>
    <w:p w14:paraId="0295D138" w14:textId="77777777" w:rsidR="006C409F" w:rsidRDefault="006C409F" w:rsidP="00BA623E"/>
    <w:p w14:paraId="4888124E" w14:textId="77777777" w:rsidR="006C409F" w:rsidRDefault="006C409F" w:rsidP="00BA623E"/>
    <w:p w14:paraId="273326B0" w14:textId="77777777" w:rsidR="006C409F" w:rsidRDefault="006C409F" w:rsidP="00BA623E"/>
    <w:p w14:paraId="705FEB14" w14:textId="77777777" w:rsidR="006C409F" w:rsidRDefault="006C409F" w:rsidP="00BA623E"/>
    <w:p w14:paraId="2ACA4080" w14:textId="77777777" w:rsidR="006C409F" w:rsidRDefault="006C409F" w:rsidP="00BA623E"/>
    <w:p w14:paraId="2C192713" w14:textId="77777777" w:rsidR="006C409F" w:rsidRDefault="006C409F" w:rsidP="00BA623E"/>
    <w:p w14:paraId="5BFCBCB2" w14:textId="77777777" w:rsidR="006C409F" w:rsidRDefault="006C409F" w:rsidP="00BA623E"/>
    <w:p w14:paraId="09DFECBB" w14:textId="77777777" w:rsidR="006C409F" w:rsidRDefault="006C409F" w:rsidP="00BA623E"/>
    <w:p w14:paraId="6E898345" w14:textId="77777777" w:rsidR="006C409F" w:rsidRDefault="006C409F" w:rsidP="00BA623E"/>
    <w:p w14:paraId="2C7DD6E5" w14:textId="77777777" w:rsidR="006C409F" w:rsidRDefault="006C409F" w:rsidP="00BA623E"/>
    <w:p w14:paraId="72A9C729" w14:textId="77777777" w:rsidR="006C409F" w:rsidRDefault="006C409F" w:rsidP="00BA623E"/>
    <w:p w14:paraId="764A6408" w14:textId="77777777" w:rsidR="006C409F" w:rsidRDefault="006C409F" w:rsidP="00BA623E"/>
    <w:p w14:paraId="1EEC75BA" w14:textId="77777777" w:rsidR="006C409F" w:rsidRDefault="006C409F" w:rsidP="00BA623E"/>
    <w:p w14:paraId="706D2CEB" w14:textId="77777777" w:rsidR="006C409F" w:rsidRDefault="006C409F" w:rsidP="00BA623E"/>
    <w:p w14:paraId="27613719" w14:textId="77777777" w:rsidR="006C409F" w:rsidRDefault="006C409F" w:rsidP="00BA623E"/>
    <w:p w14:paraId="578B7A25" w14:textId="77777777" w:rsidR="006C409F" w:rsidRDefault="006C409F" w:rsidP="00BA623E"/>
    <w:p w14:paraId="1CD9C2E6" w14:textId="77777777" w:rsidR="006C409F" w:rsidRDefault="006C409F" w:rsidP="00BA623E"/>
    <w:p w14:paraId="6916A2C8" w14:textId="77777777" w:rsidR="006C409F" w:rsidRDefault="006C409F" w:rsidP="00BA623E"/>
    <w:p w14:paraId="246FB976" w14:textId="77777777" w:rsidR="006C409F" w:rsidRDefault="006C409F" w:rsidP="00BA623E"/>
    <w:p w14:paraId="6D2A9F6F" w14:textId="77777777" w:rsidR="006C409F" w:rsidRDefault="006C409F" w:rsidP="00BA623E"/>
    <w:p w14:paraId="17334EAD" w14:textId="77777777" w:rsidR="006C409F" w:rsidRDefault="006C409F" w:rsidP="00BA623E"/>
    <w:p w14:paraId="265E0550" w14:textId="77777777" w:rsidR="006C409F" w:rsidRDefault="006C409F" w:rsidP="00BA623E"/>
    <w:p w14:paraId="7FFE85F5" w14:textId="77777777" w:rsidR="006C409F" w:rsidRDefault="006C409F" w:rsidP="00BA623E"/>
    <w:p w14:paraId="6265F52C" w14:textId="77777777" w:rsidR="006C409F" w:rsidRDefault="006C409F" w:rsidP="00BA623E"/>
    <w:p w14:paraId="7C7B8BD9" w14:textId="77777777" w:rsidR="006C409F" w:rsidRDefault="006C409F" w:rsidP="00BA623E"/>
    <w:p w14:paraId="2AB0EF22" w14:textId="77777777" w:rsidR="006C409F" w:rsidRDefault="006C409F" w:rsidP="00BA623E"/>
    <w:p w14:paraId="60D2A306" w14:textId="77777777" w:rsidR="006C409F" w:rsidRDefault="006C409F" w:rsidP="00BA623E"/>
    <w:p w14:paraId="0BC4F573" w14:textId="77777777" w:rsidR="006C409F" w:rsidRDefault="006C409F" w:rsidP="00BA623E"/>
    <w:p w14:paraId="1E08EF35" w14:textId="77777777" w:rsidR="006C409F" w:rsidRDefault="006C409F" w:rsidP="00BA623E"/>
    <w:p w14:paraId="57CD8118" w14:textId="77777777" w:rsidR="006C409F" w:rsidRDefault="006C409F" w:rsidP="00BA623E"/>
    <w:p w14:paraId="01DE6272" w14:textId="77777777" w:rsidR="006C409F" w:rsidRDefault="006C409F" w:rsidP="00BA623E"/>
    <w:p w14:paraId="4B735208" w14:textId="77777777" w:rsidR="006C409F" w:rsidRDefault="006C409F" w:rsidP="00BA623E"/>
    <w:p w14:paraId="221ED39A" w14:textId="77777777" w:rsidR="006C409F" w:rsidRDefault="006C409F" w:rsidP="00BA623E"/>
    <w:p w14:paraId="13A88B7F" w14:textId="77777777" w:rsidR="006C409F" w:rsidRDefault="006C409F" w:rsidP="00BA623E"/>
    <w:p w14:paraId="43FC44BA" w14:textId="77777777" w:rsidR="006C409F" w:rsidRDefault="006C409F" w:rsidP="00BA623E"/>
    <w:p w14:paraId="3FE57940" w14:textId="77777777" w:rsidR="006C409F" w:rsidRDefault="006C409F" w:rsidP="00BA623E"/>
    <w:p w14:paraId="61695262" w14:textId="77777777" w:rsidR="006C409F" w:rsidRDefault="006C409F" w:rsidP="00BA623E"/>
    <w:p w14:paraId="208A540B" w14:textId="77777777" w:rsidR="006C409F" w:rsidRDefault="006C409F" w:rsidP="00BA623E"/>
    <w:p w14:paraId="75C6E6AF" w14:textId="77777777" w:rsidR="006C409F" w:rsidRDefault="006C409F" w:rsidP="00BA623E"/>
    <w:p w14:paraId="6A8CCCB8" w14:textId="77777777" w:rsidR="006C409F" w:rsidRDefault="006C409F" w:rsidP="00BA623E"/>
    <w:p w14:paraId="3696A681" w14:textId="77777777" w:rsidR="006C409F" w:rsidRDefault="006C409F" w:rsidP="00BA623E"/>
    <w:p w14:paraId="4C7E7FC6" w14:textId="77777777" w:rsidR="006C409F" w:rsidRDefault="006C409F" w:rsidP="00BA623E"/>
    <w:p w14:paraId="2BF8B1C3" w14:textId="77777777" w:rsidR="006C409F" w:rsidRDefault="006C409F" w:rsidP="00BA623E"/>
    <w:p w14:paraId="7EC84FB7" w14:textId="77777777" w:rsidR="006C409F" w:rsidRDefault="006C409F"/>
    <w:p w14:paraId="65A7236D" w14:textId="77777777" w:rsidR="006C409F" w:rsidRDefault="006C409F"/>
    <w:p w14:paraId="580707DB" w14:textId="77777777" w:rsidR="006C409F" w:rsidRDefault="006C4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C85E" w14:textId="77777777" w:rsidR="00AA7546" w:rsidRDefault="00AA7546" w:rsidP="00BA623E"/>
  <w:p w14:paraId="20B2A5C7" w14:textId="77777777" w:rsidR="00AA7546" w:rsidRDefault="00AA7546" w:rsidP="00BA623E"/>
  <w:p w14:paraId="008E7EDD" w14:textId="77777777" w:rsidR="00AA7546" w:rsidRDefault="00AA7546" w:rsidP="00BA623E"/>
  <w:p w14:paraId="75A5A745" w14:textId="77777777" w:rsidR="00AA7546" w:rsidRDefault="00AA7546" w:rsidP="00BA623E"/>
  <w:p w14:paraId="6F0EEABD" w14:textId="77777777" w:rsidR="00AA7546" w:rsidRDefault="00AA7546" w:rsidP="00BA623E"/>
  <w:p w14:paraId="2A5056F6" w14:textId="77777777" w:rsidR="00AA7546" w:rsidRDefault="00AA7546" w:rsidP="00BA623E"/>
  <w:p w14:paraId="6724F069" w14:textId="77777777" w:rsidR="00AA7546" w:rsidRDefault="00AA7546" w:rsidP="00BA623E"/>
  <w:p w14:paraId="0F27CC35" w14:textId="77777777" w:rsidR="00AA7546" w:rsidRDefault="00AA7546" w:rsidP="00BA623E"/>
  <w:p w14:paraId="04D1BB7D" w14:textId="77777777" w:rsidR="00AA7546" w:rsidRDefault="00AA7546" w:rsidP="00BA623E"/>
  <w:p w14:paraId="7D1260A8" w14:textId="77777777" w:rsidR="00AA7546" w:rsidRDefault="00AA7546" w:rsidP="00BA623E"/>
  <w:p w14:paraId="4512FA5A" w14:textId="77777777" w:rsidR="00AA7546" w:rsidRDefault="00AA7546" w:rsidP="00BA623E"/>
  <w:p w14:paraId="041B2923" w14:textId="77777777" w:rsidR="00AA7546" w:rsidRDefault="00AA7546" w:rsidP="00BA623E"/>
  <w:p w14:paraId="2105E069" w14:textId="77777777" w:rsidR="00AA7546" w:rsidRDefault="00AA7546" w:rsidP="00BA623E"/>
  <w:p w14:paraId="797ED490" w14:textId="77777777" w:rsidR="00AA7546" w:rsidRDefault="00AA7546" w:rsidP="00BA623E"/>
  <w:p w14:paraId="11AD8FE7" w14:textId="77777777" w:rsidR="00AA7546" w:rsidRDefault="00AA7546" w:rsidP="00BA623E"/>
  <w:p w14:paraId="4A76407F" w14:textId="77777777" w:rsidR="00AA7546" w:rsidRDefault="00AA7546" w:rsidP="00BA623E"/>
  <w:p w14:paraId="35952F17" w14:textId="77777777" w:rsidR="00AA7546" w:rsidRDefault="00AA7546" w:rsidP="00BA623E"/>
  <w:p w14:paraId="373C4EDC" w14:textId="77777777" w:rsidR="00AA7546" w:rsidRDefault="00AA7546" w:rsidP="00BA623E"/>
  <w:p w14:paraId="1FAA2F08" w14:textId="77777777" w:rsidR="00AA7546" w:rsidRDefault="00AA7546" w:rsidP="00BA623E"/>
  <w:p w14:paraId="5EDB08F7" w14:textId="77777777" w:rsidR="00AA7546" w:rsidRDefault="00AA7546" w:rsidP="00BA623E"/>
  <w:p w14:paraId="13F3DB60" w14:textId="77777777" w:rsidR="00AA7546" w:rsidRDefault="00AA7546" w:rsidP="00BA623E"/>
  <w:p w14:paraId="0D33BE15" w14:textId="77777777" w:rsidR="00AA7546" w:rsidRDefault="00AA7546" w:rsidP="00BA623E"/>
  <w:p w14:paraId="150FD4B1" w14:textId="77777777" w:rsidR="00AA7546" w:rsidRDefault="00AA7546" w:rsidP="00BA623E"/>
  <w:p w14:paraId="1B5F5276" w14:textId="77777777" w:rsidR="00AA7546" w:rsidRDefault="00AA7546" w:rsidP="00BA623E"/>
  <w:p w14:paraId="32EB2946" w14:textId="77777777" w:rsidR="00AA7546" w:rsidRDefault="00AA7546" w:rsidP="00BA623E"/>
  <w:p w14:paraId="029B22F2" w14:textId="77777777" w:rsidR="00AA7546" w:rsidRDefault="00AA7546" w:rsidP="00BA623E"/>
  <w:p w14:paraId="14986074" w14:textId="77777777" w:rsidR="00AA7546" w:rsidRDefault="00AA7546" w:rsidP="00BA623E"/>
  <w:p w14:paraId="34B90102" w14:textId="77777777" w:rsidR="00AA7546" w:rsidRDefault="00AA7546" w:rsidP="00BA623E"/>
  <w:p w14:paraId="3868836B" w14:textId="77777777" w:rsidR="00AA7546" w:rsidRDefault="00AA7546" w:rsidP="00BA623E"/>
  <w:p w14:paraId="1C86639C" w14:textId="77777777" w:rsidR="00AA7546" w:rsidRDefault="00AA7546" w:rsidP="00BA623E"/>
  <w:p w14:paraId="6AA812F0" w14:textId="77777777" w:rsidR="00AA7546" w:rsidRDefault="00AA7546" w:rsidP="00BA623E"/>
  <w:p w14:paraId="4CEB7507" w14:textId="77777777" w:rsidR="00AA7546" w:rsidRDefault="00AA7546" w:rsidP="00BA623E"/>
  <w:p w14:paraId="7FF56056" w14:textId="77777777" w:rsidR="00AA7546" w:rsidRDefault="00AA7546" w:rsidP="00BA623E"/>
  <w:p w14:paraId="037DB86F" w14:textId="77777777" w:rsidR="00AA7546" w:rsidRDefault="00AA7546" w:rsidP="00BA623E"/>
  <w:p w14:paraId="0919311A" w14:textId="77777777" w:rsidR="00AA7546" w:rsidRDefault="00AA7546" w:rsidP="00BA623E"/>
  <w:p w14:paraId="267D5D75" w14:textId="77777777" w:rsidR="00AA7546" w:rsidRDefault="00AA7546" w:rsidP="00BA623E"/>
  <w:p w14:paraId="32770F05" w14:textId="77777777" w:rsidR="00AA7546" w:rsidRDefault="00AA7546" w:rsidP="00BA623E"/>
  <w:p w14:paraId="1C881187" w14:textId="77777777" w:rsidR="00AA7546" w:rsidRDefault="00AA7546" w:rsidP="00BA623E"/>
  <w:p w14:paraId="2B15324C" w14:textId="77777777" w:rsidR="00AA7546" w:rsidRDefault="00AA7546" w:rsidP="00BA623E"/>
  <w:p w14:paraId="673767AC" w14:textId="77777777" w:rsidR="00AA7546" w:rsidRDefault="00AA7546" w:rsidP="00BA623E"/>
  <w:p w14:paraId="5391180F" w14:textId="77777777" w:rsidR="00AA7546" w:rsidRDefault="00AA7546" w:rsidP="00BA623E"/>
  <w:p w14:paraId="0054EAD8" w14:textId="77777777" w:rsidR="00AA7546" w:rsidRDefault="00AA7546" w:rsidP="00BA623E"/>
  <w:p w14:paraId="54C20974" w14:textId="77777777" w:rsidR="00AA7546" w:rsidRDefault="00AA7546" w:rsidP="00BA623E"/>
  <w:p w14:paraId="32F18EB2" w14:textId="77777777" w:rsidR="00AA7546" w:rsidRDefault="00AA7546" w:rsidP="00BA623E"/>
  <w:p w14:paraId="77FC0592" w14:textId="77777777" w:rsidR="00AA7546" w:rsidRDefault="00AA7546" w:rsidP="00BA623E"/>
  <w:p w14:paraId="1A6EBA1D" w14:textId="77777777" w:rsidR="00AA7546" w:rsidRDefault="00AA7546" w:rsidP="00BA623E"/>
  <w:p w14:paraId="24E6989E" w14:textId="77777777" w:rsidR="00AA7546" w:rsidRDefault="00AA7546" w:rsidP="00BA623E"/>
  <w:p w14:paraId="3D79B413" w14:textId="77777777" w:rsidR="00AA7546" w:rsidRDefault="00AA7546" w:rsidP="00BA623E"/>
  <w:p w14:paraId="00FE0C1B" w14:textId="77777777" w:rsidR="00AA7546" w:rsidRDefault="00AA7546" w:rsidP="00BA623E"/>
  <w:p w14:paraId="2D231B10" w14:textId="77777777" w:rsidR="00AA7546" w:rsidRDefault="00AA7546" w:rsidP="00BA623E"/>
  <w:p w14:paraId="36D1F195" w14:textId="77777777" w:rsidR="00AA7546" w:rsidRDefault="00AA7546" w:rsidP="00BA623E"/>
  <w:p w14:paraId="2F2DAC05" w14:textId="77777777" w:rsidR="00AA7546" w:rsidRDefault="00AA7546" w:rsidP="00BA623E"/>
  <w:p w14:paraId="062D1788" w14:textId="77777777" w:rsidR="00AA7546" w:rsidRDefault="00AA7546" w:rsidP="00BA623E"/>
  <w:p w14:paraId="0AEC7C79" w14:textId="77777777" w:rsidR="00AA7546" w:rsidRDefault="00AA7546" w:rsidP="00BA623E"/>
  <w:p w14:paraId="2D6FED0C" w14:textId="77777777" w:rsidR="00AA7546" w:rsidRDefault="00AA7546" w:rsidP="00BA623E"/>
  <w:p w14:paraId="39E5BCF4" w14:textId="77777777" w:rsidR="00AA7546" w:rsidRDefault="00AA7546" w:rsidP="00BA623E"/>
  <w:p w14:paraId="3D8E9D14" w14:textId="77777777" w:rsidR="00AA7546" w:rsidRDefault="00AA7546" w:rsidP="00BA623E"/>
  <w:p w14:paraId="232CEA33" w14:textId="77777777" w:rsidR="00AA7546" w:rsidRDefault="00AA7546" w:rsidP="00BA623E"/>
  <w:p w14:paraId="0D216984" w14:textId="77777777" w:rsidR="00AA7546" w:rsidRDefault="00AA7546" w:rsidP="00BA623E"/>
  <w:p w14:paraId="55D9AF43" w14:textId="77777777" w:rsidR="00AA7546" w:rsidRDefault="00AA7546" w:rsidP="00BA623E"/>
  <w:p w14:paraId="1B259407" w14:textId="77777777" w:rsidR="00AA7546" w:rsidRDefault="00AA7546" w:rsidP="00BA623E"/>
  <w:p w14:paraId="0BAC9F99" w14:textId="77777777" w:rsidR="00AA7546" w:rsidRDefault="00AA7546" w:rsidP="00BA623E"/>
  <w:p w14:paraId="787355E5" w14:textId="77777777" w:rsidR="00AA7546" w:rsidRDefault="00AA7546" w:rsidP="00BA623E"/>
  <w:p w14:paraId="7BB31D8F" w14:textId="77777777" w:rsidR="00AA7546" w:rsidRDefault="00AA7546" w:rsidP="00BA623E"/>
  <w:p w14:paraId="21820265" w14:textId="77777777" w:rsidR="00AA7546" w:rsidRDefault="00AA7546" w:rsidP="00BA623E"/>
  <w:p w14:paraId="13A29185" w14:textId="77777777" w:rsidR="00AA7546" w:rsidRDefault="00AA7546" w:rsidP="00BA623E"/>
  <w:p w14:paraId="5EB550F7" w14:textId="77777777" w:rsidR="00AA7546" w:rsidRDefault="00AA7546" w:rsidP="00BA623E"/>
  <w:p w14:paraId="6CEFEFAA" w14:textId="77777777" w:rsidR="00AA7546" w:rsidRDefault="00AA7546" w:rsidP="00BA623E"/>
  <w:p w14:paraId="4BCA4817" w14:textId="77777777" w:rsidR="00AA7546" w:rsidRDefault="00AA7546" w:rsidP="00BA623E"/>
  <w:p w14:paraId="2A3C7399" w14:textId="77777777" w:rsidR="00AA7546" w:rsidRDefault="00AA7546" w:rsidP="00BA623E"/>
  <w:p w14:paraId="6C2B74DE" w14:textId="77777777" w:rsidR="00AA7546" w:rsidRDefault="00AA7546" w:rsidP="00BA623E"/>
  <w:p w14:paraId="5A2F6301" w14:textId="77777777" w:rsidR="00AA7546" w:rsidRDefault="00AA7546" w:rsidP="00BA623E"/>
  <w:p w14:paraId="66F60F07" w14:textId="77777777" w:rsidR="00AA7546" w:rsidRDefault="00AA7546" w:rsidP="00CA0972"/>
  <w:p w14:paraId="08AB6E71" w14:textId="77777777" w:rsidR="00AA7546" w:rsidRDefault="00AA7546" w:rsidP="004278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5" w:type="dxa"/>
      <w:tblBorders>
        <w:bottom w:val="single" w:sz="4" w:space="0" w:color="auto"/>
      </w:tblBorders>
      <w:tblLook w:val="01E0" w:firstRow="1" w:lastRow="1" w:firstColumn="1" w:lastColumn="1" w:noHBand="0" w:noVBand="0"/>
    </w:tblPr>
    <w:tblGrid>
      <w:gridCol w:w="3950"/>
      <w:gridCol w:w="6225"/>
    </w:tblGrid>
    <w:tr w:rsidR="00AA7546" w14:paraId="37CB6FB5" w14:textId="77777777" w:rsidTr="00DD2074">
      <w:trPr>
        <w:trHeight w:val="1176"/>
      </w:trPr>
      <w:tc>
        <w:tcPr>
          <w:tcW w:w="3950" w:type="dxa"/>
          <w:shd w:val="clear" w:color="auto" w:fill="auto"/>
        </w:tcPr>
        <w:p w14:paraId="4AC35018" w14:textId="7D5DA7B4" w:rsidR="00AA7546" w:rsidRDefault="00B969CF" w:rsidP="00BA623E">
          <w:r w:rsidRPr="00B969CF">
            <w:rPr>
              <w:noProof/>
              <w:lang w:val="en-GB" w:eastAsia="en-GB"/>
            </w:rPr>
            <w:drawing>
              <wp:anchor distT="0" distB="0" distL="114300" distR="114300" simplePos="0" relativeHeight="251663360" behindDoc="0" locked="0" layoutInCell="1" allowOverlap="1" wp14:anchorId="195ED7F2" wp14:editId="7896BE38">
                <wp:simplePos x="0" y="0"/>
                <wp:positionH relativeFrom="column">
                  <wp:posOffset>0</wp:posOffset>
                </wp:positionH>
                <wp:positionV relativeFrom="paragraph">
                  <wp:posOffset>-163830</wp:posOffset>
                </wp:positionV>
                <wp:extent cx="1126490" cy="828040"/>
                <wp:effectExtent l="0" t="0" r="0" b="0"/>
                <wp:wrapNone/>
                <wp:docPr id="5" name="Picture 5" descr="Bildergebnis für world bank fc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world bank fcpf logo"/>
                        <pic:cNvPicPr>
                          <a:picLocks noChangeAspect="1" noChangeArrowheads="1"/>
                        </pic:cNvPicPr>
                      </pic:nvPicPr>
                      <pic:blipFill>
                        <a:blip r:embed="rId1">
                          <a:extLst>
                            <a:ext uri="{28A0092B-C50C-407E-A947-70E740481C1C}">
                              <a14:useLocalDpi xmlns:a14="http://schemas.microsoft.com/office/drawing/2010/main" val="0"/>
                            </a:ext>
                          </a:extLst>
                        </a:blip>
                        <a:srcRect l="21896" t="13158" r="20760" b="11505"/>
                        <a:stretch>
                          <a:fillRect/>
                        </a:stretch>
                      </pic:blipFill>
                      <pic:spPr bwMode="auto">
                        <a:xfrm>
                          <a:off x="0" y="0"/>
                          <a:ext cx="112649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CF">
            <w:rPr>
              <w:noProof/>
              <w:lang w:val="en-GB" w:eastAsia="en-GB"/>
            </w:rPr>
            <w:drawing>
              <wp:anchor distT="0" distB="0" distL="114300" distR="114300" simplePos="0" relativeHeight="251664384" behindDoc="0" locked="0" layoutInCell="1" allowOverlap="1" wp14:anchorId="1BDDBFB0" wp14:editId="0CA387A0">
                <wp:simplePos x="0" y="0"/>
                <wp:positionH relativeFrom="column">
                  <wp:posOffset>1353820</wp:posOffset>
                </wp:positionH>
                <wp:positionV relativeFrom="paragraph">
                  <wp:posOffset>-67945</wp:posOffset>
                </wp:positionV>
                <wp:extent cx="1282700" cy="647700"/>
                <wp:effectExtent l="0" t="0" r="0" b="0"/>
                <wp:wrapNone/>
                <wp:docPr id="7" name="Picture 7" descr="NICFI 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FI narr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CF">
            <w:rPr>
              <w:noProof/>
              <w:lang w:val="en-GB" w:eastAsia="en-GB"/>
            </w:rPr>
            <w:drawing>
              <wp:anchor distT="0" distB="0" distL="114300" distR="114300" simplePos="0" relativeHeight="251665408" behindDoc="0" locked="0" layoutInCell="1" allowOverlap="1" wp14:anchorId="61CD9DAC" wp14:editId="2427242D">
                <wp:simplePos x="0" y="0"/>
                <wp:positionH relativeFrom="column">
                  <wp:posOffset>2918460</wp:posOffset>
                </wp:positionH>
                <wp:positionV relativeFrom="paragraph">
                  <wp:posOffset>-71755</wp:posOffset>
                </wp:positionV>
                <wp:extent cx="666750" cy="666750"/>
                <wp:effectExtent l="0" t="0" r="0" b="0"/>
                <wp:wrapNone/>
                <wp:docPr id="8" name="Picture 8" descr="FAO - Food and Agriculture Organizations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O - Food and Agriculture Organizations Logo Vecto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25" w:type="dxa"/>
          <w:shd w:val="clear" w:color="auto" w:fill="auto"/>
        </w:tcPr>
        <w:p w14:paraId="41E4937E" w14:textId="77777777" w:rsidR="00AA7546" w:rsidRDefault="00AA7546" w:rsidP="00BA623E">
          <w:pPr>
            <w:pStyle w:val="Header"/>
          </w:pPr>
        </w:p>
        <w:p w14:paraId="78FB1C64" w14:textId="77777777" w:rsidR="00DD2074" w:rsidRDefault="00DD2074" w:rsidP="00DD2074">
          <w:pPr>
            <w:pStyle w:val="Header"/>
            <w:rPr>
              <w:rFonts w:cs="Arial"/>
              <w:szCs w:val="20"/>
            </w:rPr>
          </w:pPr>
          <w:r>
            <w:rPr>
              <w:rFonts w:cs="Arial"/>
              <w:szCs w:val="20"/>
            </w:rPr>
            <w:t>Forestry Department</w:t>
          </w:r>
        </w:p>
        <w:p w14:paraId="55FC35A9" w14:textId="77777777" w:rsidR="00B969CF" w:rsidRDefault="00DD2074" w:rsidP="00DD2074">
          <w:pPr>
            <w:pStyle w:val="Header"/>
            <w:rPr>
              <w:rFonts w:cs="Arial"/>
              <w:szCs w:val="20"/>
            </w:rPr>
          </w:pPr>
          <w:r>
            <w:rPr>
              <w:rFonts w:cs="Arial"/>
              <w:szCs w:val="20"/>
            </w:rPr>
            <w:t xml:space="preserve">Food and Agriculture Organization </w:t>
          </w:r>
        </w:p>
        <w:p w14:paraId="547D1D71" w14:textId="4A0C53EB" w:rsidR="00DD2074" w:rsidRDefault="00DD2074" w:rsidP="00DD2074">
          <w:pPr>
            <w:pStyle w:val="Header"/>
            <w:rPr>
              <w:rFonts w:cs="Arial"/>
              <w:szCs w:val="20"/>
            </w:rPr>
          </w:pPr>
          <w:r>
            <w:rPr>
              <w:rFonts w:cs="Arial"/>
              <w:szCs w:val="20"/>
            </w:rPr>
            <w:t>of the United Nations</w:t>
          </w:r>
        </w:p>
        <w:p w14:paraId="5EDF4E4B" w14:textId="77777777" w:rsidR="00AA7546" w:rsidRDefault="00AA7546" w:rsidP="00B24667">
          <w:pPr>
            <w:pStyle w:val="Header"/>
          </w:pPr>
        </w:p>
      </w:tc>
    </w:tr>
  </w:tbl>
  <w:p w14:paraId="12895224" w14:textId="77777777" w:rsidR="00AA7546" w:rsidRDefault="00AA7546" w:rsidP="004278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7654"/>
    </w:tblGrid>
    <w:tr w:rsidR="00F55A32" w:rsidRPr="00B24667" w14:paraId="1CF6E518" w14:textId="77777777" w:rsidTr="00B6253D">
      <w:trPr>
        <w:trHeight w:val="1250"/>
      </w:trPr>
      <w:tc>
        <w:tcPr>
          <w:tcW w:w="1113" w:type="pct"/>
          <w:tcBorders>
            <w:top w:val="nil"/>
            <w:left w:val="nil"/>
            <w:right w:val="nil"/>
          </w:tcBorders>
          <w:vAlign w:val="center"/>
        </w:tcPr>
        <w:p w14:paraId="324FDA07" w14:textId="6364A7A0" w:rsidR="00F55A32" w:rsidRPr="00730933" w:rsidRDefault="00B969CF" w:rsidP="00B6253D">
          <w:r w:rsidRPr="00B969CF">
            <w:rPr>
              <w:noProof/>
              <w:lang w:val="en-GB" w:eastAsia="en-GB"/>
            </w:rPr>
            <w:drawing>
              <wp:anchor distT="0" distB="0" distL="114300" distR="114300" simplePos="0" relativeHeight="251659264" behindDoc="0" locked="0" layoutInCell="1" allowOverlap="1" wp14:anchorId="3AB9B2FC" wp14:editId="76C255E9">
                <wp:simplePos x="0" y="0"/>
                <wp:positionH relativeFrom="column">
                  <wp:posOffset>-91440</wp:posOffset>
                </wp:positionH>
                <wp:positionV relativeFrom="paragraph">
                  <wp:posOffset>-215900</wp:posOffset>
                </wp:positionV>
                <wp:extent cx="1126490" cy="828040"/>
                <wp:effectExtent l="0" t="0" r="0" b="0"/>
                <wp:wrapNone/>
                <wp:docPr id="3" name="Picture 3" descr="Bildergebnis für world bank fc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world bank fcpf logo"/>
                        <pic:cNvPicPr>
                          <a:picLocks noChangeAspect="1" noChangeArrowheads="1"/>
                        </pic:cNvPicPr>
                      </pic:nvPicPr>
                      <pic:blipFill>
                        <a:blip r:embed="rId1">
                          <a:extLst>
                            <a:ext uri="{28A0092B-C50C-407E-A947-70E740481C1C}">
                              <a14:useLocalDpi xmlns:a14="http://schemas.microsoft.com/office/drawing/2010/main" val="0"/>
                            </a:ext>
                          </a:extLst>
                        </a:blip>
                        <a:srcRect l="21896" t="13158" r="20760" b="11505"/>
                        <a:stretch>
                          <a:fillRect/>
                        </a:stretch>
                      </pic:blipFill>
                      <pic:spPr bwMode="auto">
                        <a:xfrm>
                          <a:off x="0" y="0"/>
                          <a:ext cx="112649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CF">
            <w:rPr>
              <w:noProof/>
              <w:lang w:val="en-GB" w:eastAsia="en-GB"/>
            </w:rPr>
            <w:drawing>
              <wp:anchor distT="0" distB="0" distL="114300" distR="114300" simplePos="0" relativeHeight="251660288" behindDoc="0" locked="0" layoutInCell="1" allowOverlap="1" wp14:anchorId="02A46B66" wp14:editId="0A122EB2">
                <wp:simplePos x="0" y="0"/>
                <wp:positionH relativeFrom="column">
                  <wp:posOffset>1262380</wp:posOffset>
                </wp:positionH>
                <wp:positionV relativeFrom="paragraph">
                  <wp:posOffset>-120015</wp:posOffset>
                </wp:positionV>
                <wp:extent cx="1282700" cy="647700"/>
                <wp:effectExtent l="0" t="0" r="0" b="0"/>
                <wp:wrapNone/>
                <wp:docPr id="4" name="Picture 4" descr="NICFI 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FI narr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CF">
            <w:rPr>
              <w:noProof/>
              <w:lang w:val="en-GB" w:eastAsia="en-GB"/>
            </w:rPr>
            <w:drawing>
              <wp:anchor distT="0" distB="0" distL="114300" distR="114300" simplePos="0" relativeHeight="251661312" behindDoc="0" locked="0" layoutInCell="1" allowOverlap="1" wp14:anchorId="66A28F63" wp14:editId="514ED537">
                <wp:simplePos x="0" y="0"/>
                <wp:positionH relativeFrom="column">
                  <wp:posOffset>2827020</wp:posOffset>
                </wp:positionH>
                <wp:positionV relativeFrom="paragraph">
                  <wp:posOffset>-123825</wp:posOffset>
                </wp:positionV>
                <wp:extent cx="666750" cy="666750"/>
                <wp:effectExtent l="0" t="0" r="0" b="0"/>
                <wp:wrapNone/>
                <wp:docPr id="6" name="Picture 6" descr="FAO - Food and Agriculture Organizations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O - Food and Agriculture Organizations Logo Vecto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87" w:type="pct"/>
          <w:tcBorders>
            <w:top w:val="nil"/>
            <w:left w:val="nil"/>
            <w:right w:val="nil"/>
          </w:tcBorders>
          <w:vAlign w:val="center"/>
        </w:tcPr>
        <w:p w14:paraId="3C6C1250" w14:textId="77777777" w:rsidR="00F55A32" w:rsidRDefault="00DD2074" w:rsidP="00B6253D">
          <w:pPr>
            <w:pStyle w:val="Header"/>
            <w:rPr>
              <w:rFonts w:cs="Arial"/>
              <w:szCs w:val="20"/>
            </w:rPr>
          </w:pPr>
          <w:r>
            <w:rPr>
              <w:rFonts w:cs="Arial"/>
              <w:szCs w:val="20"/>
            </w:rPr>
            <w:t>Forestry Department</w:t>
          </w:r>
        </w:p>
        <w:p w14:paraId="3A67D86D" w14:textId="77777777" w:rsidR="00B969CF" w:rsidRDefault="00DD2074" w:rsidP="00B6253D">
          <w:pPr>
            <w:pStyle w:val="Header"/>
            <w:rPr>
              <w:rFonts w:cs="Arial"/>
              <w:szCs w:val="20"/>
            </w:rPr>
          </w:pPr>
          <w:r>
            <w:rPr>
              <w:rFonts w:cs="Arial"/>
              <w:szCs w:val="20"/>
            </w:rPr>
            <w:t xml:space="preserve">Food and Agriculture Organization </w:t>
          </w:r>
        </w:p>
        <w:p w14:paraId="190763C0" w14:textId="1866CA33" w:rsidR="00DD2074" w:rsidRDefault="00DD2074" w:rsidP="00B6253D">
          <w:pPr>
            <w:pStyle w:val="Header"/>
            <w:rPr>
              <w:rFonts w:cs="Arial"/>
              <w:szCs w:val="20"/>
            </w:rPr>
          </w:pPr>
          <w:r>
            <w:rPr>
              <w:rFonts w:cs="Arial"/>
              <w:szCs w:val="20"/>
            </w:rPr>
            <w:t>of the United Nations</w:t>
          </w:r>
        </w:p>
        <w:p w14:paraId="4B8A8AAD" w14:textId="77777777" w:rsidR="00F55A32" w:rsidRPr="00B24667" w:rsidRDefault="00F55A32" w:rsidP="00B6253D">
          <w:pPr>
            <w:pStyle w:val="Header"/>
            <w:rPr>
              <w:rFonts w:cs="Arial"/>
              <w:szCs w:val="20"/>
            </w:rPr>
          </w:pPr>
        </w:p>
      </w:tc>
    </w:tr>
  </w:tbl>
  <w:p w14:paraId="46BF7FD1" w14:textId="77777777" w:rsidR="00AA7546" w:rsidRDefault="00AA7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03DC5"/>
    <w:multiLevelType w:val="hybridMultilevel"/>
    <w:tmpl w:val="C8D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30109"/>
    <w:multiLevelType w:val="hybridMultilevel"/>
    <w:tmpl w:val="C708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412A8A"/>
    <w:multiLevelType w:val="hybridMultilevel"/>
    <w:tmpl w:val="3EF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D4158"/>
    <w:multiLevelType w:val="hybridMultilevel"/>
    <w:tmpl w:val="9B382404"/>
    <w:lvl w:ilvl="0" w:tplc="2910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8581E"/>
    <w:multiLevelType w:val="hybridMultilevel"/>
    <w:tmpl w:val="FA9E39F4"/>
    <w:lvl w:ilvl="0" w:tplc="DC368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314C31"/>
    <w:multiLevelType w:val="hybridMultilevel"/>
    <w:tmpl w:val="E44A77FC"/>
    <w:lvl w:ilvl="0" w:tplc="4E6A9A12">
      <w:start w:val="1"/>
      <w:numFmt w:val="decimal"/>
      <w:suff w:val="space"/>
      <w:lvlText w:val="%1."/>
      <w:lvlJc w:val="left"/>
      <w:pPr>
        <w:ind w:left="72" w:firstLine="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C5772"/>
    <w:multiLevelType w:val="hybridMultilevel"/>
    <w:tmpl w:val="FAD4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CE"/>
    <w:rsid w:val="000003BD"/>
    <w:rsid w:val="00005A2D"/>
    <w:rsid w:val="000104B4"/>
    <w:rsid w:val="0001275B"/>
    <w:rsid w:val="00015424"/>
    <w:rsid w:val="00015489"/>
    <w:rsid w:val="00020CC3"/>
    <w:rsid w:val="00023840"/>
    <w:rsid w:val="00023AAC"/>
    <w:rsid w:val="0003043C"/>
    <w:rsid w:val="000311AD"/>
    <w:rsid w:val="00033345"/>
    <w:rsid w:val="00035D0B"/>
    <w:rsid w:val="000363F1"/>
    <w:rsid w:val="00041B95"/>
    <w:rsid w:val="000427AA"/>
    <w:rsid w:val="00047CC0"/>
    <w:rsid w:val="00050059"/>
    <w:rsid w:val="00050266"/>
    <w:rsid w:val="000530F2"/>
    <w:rsid w:val="00053813"/>
    <w:rsid w:val="00054948"/>
    <w:rsid w:val="00055A35"/>
    <w:rsid w:val="00056599"/>
    <w:rsid w:val="00060982"/>
    <w:rsid w:val="00065BD3"/>
    <w:rsid w:val="00066B78"/>
    <w:rsid w:val="00067FE2"/>
    <w:rsid w:val="000751BE"/>
    <w:rsid w:val="00077F12"/>
    <w:rsid w:val="0008160D"/>
    <w:rsid w:val="00085AF5"/>
    <w:rsid w:val="0009025B"/>
    <w:rsid w:val="00090FBC"/>
    <w:rsid w:val="00093492"/>
    <w:rsid w:val="000947A9"/>
    <w:rsid w:val="000948EB"/>
    <w:rsid w:val="000A0515"/>
    <w:rsid w:val="000A0D67"/>
    <w:rsid w:val="000A37AC"/>
    <w:rsid w:val="000A38C3"/>
    <w:rsid w:val="000A6812"/>
    <w:rsid w:val="000B009A"/>
    <w:rsid w:val="000B1190"/>
    <w:rsid w:val="000B7433"/>
    <w:rsid w:val="000B74EA"/>
    <w:rsid w:val="000C0388"/>
    <w:rsid w:val="000C18DD"/>
    <w:rsid w:val="000C4782"/>
    <w:rsid w:val="000C5E50"/>
    <w:rsid w:val="000C7517"/>
    <w:rsid w:val="000D154E"/>
    <w:rsid w:val="000D158A"/>
    <w:rsid w:val="000D26DF"/>
    <w:rsid w:val="000D52AF"/>
    <w:rsid w:val="000D67E2"/>
    <w:rsid w:val="000D72D2"/>
    <w:rsid w:val="000E373A"/>
    <w:rsid w:val="000E3F2B"/>
    <w:rsid w:val="000E62B7"/>
    <w:rsid w:val="000F09DC"/>
    <w:rsid w:val="000F0EDA"/>
    <w:rsid w:val="000F248C"/>
    <w:rsid w:val="000F4870"/>
    <w:rsid w:val="000F67B4"/>
    <w:rsid w:val="000F77A0"/>
    <w:rsid w:val="0010065C"/>
    <w:rsid w:val="00101F4E"/>
    <w:rsid w:val="00107DB6"/>
    <w:rsid w:val="001104C3"/>
    <w:rsid w:val="001125EA"/>
    <w:rsid w:val="00116A3F"/>
    <w:rsid w:val="0012200F"/>
    <w:rsid w:val="00127416"/>
    <w:rsid w:val="001279DB"/>
    <w:rsid w:val="00130C55"/>
    <w:rsid w:val="001319EA"/>
    <w:rsid w:val="00132FCD"/>
    <w:rsid w:val="0013346C"/>
    <w:rsid w:val="001365EA"/>
    <w:rsid w:val="001369EC"/>
    <w:rsid w:val="001374AF"/>
    <w:rsid w:val="00141C0A"/>
    <w:rsid w:val="00141DDB"/>
    <w:rsid w:val="00143296"/>
    <w:rsid w:val="001467F4"/>
    <w:rsid w:val="001477C2"/>
    <w:rsid w:val="00151D3B"/>
    <w:rsid w:val="001541FB"/>
    <w:rsid w:val="00154A42"/>
    <w:rsid w:val="001550E6"/>
    <w:rsid w:val="001552DF"/>
    <w:rsid w:val="00155374"/>
    <w:rsid w:val="00155832"/>
    <w:rsid w:val="00156120"/>
    <w:rsid w:val="001575C9"/>
    <w:rsid w:val="00162989"/>
    <w:rsid w:val="00164E05"/>
    <w:rsid w:val="00165432"/>
    <w:rsid w:val="00167310"/>
    <w:rsid w:val="00167C75"/>
    <w:rsid w:val="00167F60"/>
    <w:rsid w:val="00174CB7"/>
    <w:rsid w:val="001774FF"/>
    <w:rsid w:val="00183730"/>
    <w:rsid w:val="001846E4"/>
    <w:rsid w:val="00186918"/>
    <w:rsid w:val="00187E0E"/>
    <w:rsid w:val="001917F8"/>
    <w:rsid w:val="00192E60"/>
    <w:rsid w:val="001951CA"/>
    <w:rsid w:val="00195580"/>
    <w:rsid w:val="00196189"/>
    <w:rsid w:val="001966F3"/>
    <w:rsid w:val="001974B2"/>
    <w:rsid w:val="00197C5C"/>
    <w:rsid w:val="00197E6E"/>
    <w:rsid w:val="001A24E4"/>
    <w:rsid w:val="001A27EA"/>
    <w:rsid w:val="001B0BCA"/>
    <w:rsid w:val="001B16DB"/>
    <w:rsid w:val="001B33F5"/>
    <w:rsid w:val="001B3506"/>
    <w:rsid w:val="001B56C0"/>
    <w:rsid w:val="001B63AD"/>
    <w:rsid w:val="001C0131"/>
    <w:rsid w:val="001C0450"/>
    <w:rsid w:val="001C133A"/>
    <w:rsid w:val="001C363D"/>
    <w:rsid w:val="001C441F"/>
    <w:rsid w:val="001C5EA6"/>
    <w:rsid w:val="001C6592"/>
    <w:rsid w:val="001C788F"/>
    <w:rsid w:val="001D09C0"/>
    <w:rsid w:val="001D1402"/>
    <w:rsid w:val="001D153B"/>
    <w:rsid w:val="001D24DB"/>
    <w:rsid w:val="001D5282"/>
    <w:rsid w:val="001E08FB"/>
    <w:rsid w:val="001E0B91"/>
    <w:rsid w:val="001E2D38"/>
    <w:rsid w:val="001E2D7C"/>
    <w:rsid w:val="001E5252"/>
    <w:rsid w:val="001E528D"/>
    <w:rsid w:val="001F05EF"/>
    <w:rsid w:val="001F2266"/>
    <w:rsid w:val="001F4069"/>
    <w:rsid w:val="0020072A"/>
    <w:rsid w:val="002030F3"/>
    <w:rsid w:val="00203586"/>
    <w:rsid w:val="0020397E"/>
    <w:rsid w:val="00212C90"/>
    <w:rsid w:val="002147A3"/>
    <w:rsid w:val="00214C95"/>
    <w:rsid w:val="002156CE"/>
    <w:rsid w:val="002169E7"/>
    <w:rsid w:val="00216F20"/>
    <w:rsid w:val="0022669A"/>
    <w:rsid w:val="00226908"/>
    <w:rsid w:val="00232620"/>
    <w:rsid w:val="002331B9"/>
    <w:rsid w:val="002334D8"/>
    <w:rsid w:val="00233B77"/>
    <w:rsid w:val="00234992"/>
    <w:rsid w:val="00235700"/>
    <w:rsid w:val="002370B8"/>
    <w:rsid w:val="00244397"/>
    <w:rsid w:val="00244878"/>
    <w:rsid w:val="00245F8C"/>
    <w:rsid w:val="002468E5"/>
    <w:rsid w:val="002501A0"/>
    <w:rsid w:val="00252313"/>
    <w:rsid w:val="00252439"/>
    <w:rsid w:val="0025273D"/>
    <w:rsid w:val="002550D7"/>
    <w:rsid w:val="00260A79"/>
    <w:rsid w:val="00261392"/>
    <w:rsid w:val="0026281A"/>
    <w:rsid w:val="00263077"/>
    <w:rsid w:val="0026511A"/>
    <w:rsid w:val="00267EFF"/>
    <w:rsid w:val="0027086B"/>
    <w:rsid w:val="00271587"/>
    <w:rsid w:val="00271A26"/>
    <w:rsid w:val="002757E6"/>
    <w:rsid w:val="002777E1"/>
    <w:rsid w:val="00280BCD"/>
    <w:rsid w:val="002835F2"/>
    <w:rsid w:val="002836B1"/>
    <w:rsid w:val="00283871"/>
    <w:rsid w:val="00284E60"/>
    <w:rsid w:val="0028507A"/>
    <w:rsid w:val="002871C9"/>
    <w:rsid w:val="00291125"/>
    <w:rsid w:val="00292D51"/>
    <w:rsid w:val="0029372A"/>
    <w:rsid w:val="002A35E3"/>
    <w:rsid w:val="002A402B"/>
    <w:rsid w:val="002A5F95"/>
    <w:rsid w:val="002A6A99"/>
    <w:rsid w:val="002A7533"/>
    <w:rsid w:val="002B1842"/>
    <w:rsid w:val="002B1C52"/>
    <w:rsid w:val="002B33C0"/>
    <w:rsid w:val="002B3C8C"/>
    <w:rsid w:val="002B43C0"/>
    <w:rsid w:val="002B7A20"/>
    <w:rsid w:val="002C0683"/>
    <w:rsid w:val="002C2EB3"/>
    <w:rsid w:val="002C6FA6"/>
    <w:rsid w:val="002C7A2C"/>
    <w:rsid w:val="002D17B1"/>
    <w:rsid w:val="002D543C"/>
    <w:rsid w:val="002D5AB0"/>
    <w:rsid w:val="002D63F3"/>
    <w:rsid w:val="002D6982"/>
    <w:rsid w:val="002E1A00"/>
    <w:rsid w:val="002E26E3"/>
    <w:rsid w:val="002E3A6C"/>
    <w:rsid w:val="002E3D0F"/>
    <w:rsid w:val="002E5039"/>
    <w:rsid w:val="002E65D2"/>
    <w:rsid w:val="002F0BD3"/>
    <w:rsid w:val="002F2976"/>
    <w:rsid w:val="002F5241"/>
    <w:rsid w:val="002F6777"/>
    <w:rsid w:val="00301E81"/>
    <w:rsid w:val="003050A5"/>
    <w:rsid w:val="0030602A"/>
    <w:rsid w:val="00312687"/>
    <w:rsid w:val="0031272F"/>
    <w:rsid w:val="003203B7"/>
    <w:rsid w:val="003244F7"/>
    <w:rsid w:val="00326F3E"/>
    <w:rsid w:val="00327506"/>
    <w:rsid w:val="00332113"/>
    <w:rsid w:val="00332C8A"/>
    <w:rsid w:val="00333CAC"/>
    <w:rsid w:val="0034259E"/>
    <w:rsid w:val="00345DAD"/>
    <w:rsid w:val="003460C5"/>
    <w:rsid w:val="003469C5"/>
    <w:rsid w:val="003505EB"/>
    <w:rsid w:val="00350BD6"/>
    <w:rsid w:val="003535AD"/>
    <w:rsid w:val="00353755"/>
    <w:rsid w:val="00356F4D"/>
    <w:rsid w:val="00362852"/>
    <w:rsid w:val="00363766"/>
    <w:rsid w:val="00371E44"/>
    <w:rsid w:val="00372225"/>
    <w:rsid w:val="00372385"/>
    <w:rsid w:val="00372E2F"/>
    <w:rsid w:val="00373A73"/>
    <w:rsid w:val="003751BB"/>
    <w:rsid w:val="0037628C"/>
    <w:rsid w:val="00380194"/>
    <w:rsid w:val="003812C7"/>
    <w:rsid w:val="003826A8"/>
    <w:rsid w:val="0038301D"/>
    <w:rsid w:val="0038355D"/>
    <w:rsid w:val="00383995"/>
    <w:rsid w:val="00385F22"/>
    <w:rsid w:val="0039186C"/>
    <w:rsid w:val="00391B30"/>
    <w:rsid w:val="003A02BC"/>
    <w:rsid w:val="003A0EA9"/>
    <w:rsid w:val="003A26E4"/>
    <w:rsid w:val="003A36DB"/>
    <w:rsid w:val="003A7B5C"/>
    <w:rsid w:val="003B13DB"/>
    <w:rsid w:val="003B1747"/>
    <w:rsid w:val="003B3FA0"/>
    <w:rsid w:val="003C000E"/>
    <w:rsid w:val="003C5E55"/>
    <w:rsid w:val="003C5ED9"/>
    <w:rsid w:val="003C6A8E"/>
    <w:rsid w:val="003C770C"/>
    <w:rsid w:val="003D0DA6"/>
    <w:rsid w:val="003D71C2"/>
    <w:rsid w:val="003E0364"/>
    <w:rsid w:val="003E279F"/>
    <w:rsid w:val="003E3C62"/>
    <w:rsid w:val="003E47D2"/>
    <w:rsid w:val="003E51DC"/>
    <w:rsid w:val="003E5333"/>
    <w:rsid w:val="003E7B6B"/>
    <w:rsid w:val="003E7DB9"/>
    <w:rsid w:val="003F00CD"/>
    <w:rsid w:val="003F0405"/>
    <w:rsid w:val="003F22C8"/>
    <w:rsid w:val="003F2FE7"/>
    <w:rsid w:val="003F4563"/>
    <w:rsid w:val="003F466D"/>
    <w:rsid w:val="003F595B"/>
    <w:rsid w:val="003F68B7"/>
    <w:rsid w:val="00400A4D"/>
    <w:rsid w:val="00400EFA"/>
    <w:rsid w:val="004011DB"/>
    <w:rsid w:val="00403178"/>
    <w:rsid w:val="00405265"/>
    <w:rsid w:val="004067C7"/>
    <w:rsid w:val="004069BA"/>
    <w:rsid w:val="00406EAB"/>
    <w:rsid w:val="004165B8"/>
    <w:rsid w:val="0041697C"/>
    <w:rsid w:val="00421CE2"/>
    <w:rsid w:val="00421F03"/>
    <w:rsid w:val="004234FF"/>
    <w:rsid w:val="00423A19"/>
    <w:rsid w:val="00423DC3"/>
    <w:rsid w:val="00426975"/>
    <w:rsid w:val="00426DA5"/>
    <w:rsid w:val="004271A7"/>
    <w:rsid w:val="00427899"/>
    <w:rsid w:val="004319B2"/>
    <w:rsid w:val="00432F07"/>
    <w:rsid w:val="00444F4F"/>
    <w:rsid w:val="004456ED"/>
    <w:rsid w:val="00445B38"/>
    <w:rsid w:val="00454F0E"/>
    <w:rsid w:val="004612B2"/>
    <w:rsid w:val="00461E43"/>
    <w:rsid w:val="00464999"/>
    <w:rsid w:val="004716D6"/>
    <w:rsid w:val="00472E5B"/>
    <w:rsid w:val="00476C55"/>
    <w:rsid w:val="00480D90"/>
    <w:rsid w:val="00480EF7"/>
    <w:rsid w:val="0048264D"/>
    <w:rsid w:val="00482E61"/>
    <w:rsid w:val="004844BB"/>
    <w:rsid w:val="00484729"/>
    <w:rsid w:val="004872A9"/>
    <w:rsid w:val="004916C2"/>
    <w:rsid w:val="00493441"/>
    <w:rsid w:val="00495115"/>
    <w:rsid w:val="004A1030"/>
    <w:rsid w:val="004A19DA"/>
    <w:rsid w:val="004A4F23"/>
    <w:rsid w:val="004A5959"/>
    <w:rsid w:val="004A5DF1"/>
    <w:rsid w:val="004B0C3C"/>
    <w:rsid w:val="004B2233"/>
    <w:rsid w:val="004B3AAB"/>
    <w:rsid w:val="004B4AAE"/>
    <w:rsid w:val="004B62DE"/>
    <w:rsid w:val="004B7AD2"/>
    <w:rsid w:val="004C045B"/>
    <w:rsid w:val="004C1290"/>
    <w:rsid w:val="004C2573"/>
    <w:rsid w:val="004D0577"/>
    <w:rsid w:val="004D143C"/>
    <w:rsid w:val="004D4BC9"/>
    <w:rsid w:val="004D52B0"/>
    <w:rsid w:val="004D5479"/>
    <w:rsid w:val="004D618A"/>
    <w:rsid w:val="004D66D2"/>
    <w:rsid w:val="004D6DDE"/>
    <w:rsid w:val="004E07B6"/>
    <w:rsid w:val="004E1DE9"/>
    <w:rsid w:val="004E25E7"/>
    <w:rsid w:val="004E3830"/>
    <w:rsid w:val="004F03C1"/>
    <w:rsid w:val="004F0D00"/>
    <w:rsid w:val="004F1D96"/>
    <w:rsid w:val="004F2AD6"/>
    <w:rsid w:val="004F4680"/>
    <w:rsid w:val="004F5A59"/>
    <w:rsid w:val="00503905"/>
    <w:rsid w:val="00503EFE"/>
    <w:rsid w:val="00504049"/>
    <w:rsid w:val="00504876"/>
    <w:rsid w:val="00505D55"/>
    <w:rsid w:val="0051256E"/>
    <w:rsid w:val="00513444"/>
    <w:rsid w:val="0051559E"/>
    <w:rsid w:val="00517B40"/>
    <w:rsid w:val="005209E6"/>
    <w:rsid w:val="0052436F"/>
    <w:rsid w:val="00525705"/>
    <w:rsid w:val="00532A16"/>
    <w:rsid w:val="005404CA"/>
    <w:rsid w:val="00542BCC"/>
    <w:rsid w:val="00542FC4"/>
    <w:rsid w:val="005438E7"/>
    <w:rsid w:val="00545055"/>
    <w:rsid w:val="0054784B"/>
    <w:rsid w:val="0055070F"/>
    <w:rsid w:val="00557DFA"/>
    <w:rsid w:val="00557FED"/>
    <w:rsid w:val="005633E5"/>
    <w:rsid w:val="00563EA7"/>
    <w:rsid w:val="0056477F"/>
    <w:rsid w:val="00565FC8"/>
    <w:rsid w:val="00566700"/>
    <w:rsid w:val="00570FF1"/>
    <w:rsid w:val="005710C7"/>
    <w:rsid w:val="00572DFF"/>
    <w:rsid w:val="005752AC"/>
    <w:rsid w:val="00581F82"/>
    <w:rsid w:val="00583340"/>
    <w:rsid w:val="005843C5"/>
    <w:rsid w:val="005865FA"/>
    <w:rsid w:val="00593139"/>
    <w:rsid w:val="005936E6"/>
    <w:rsid w:val="00593F96"/>
    <w:rsid w:val="00597C86"/>
    <w:rsid w:val="005A357E"/>
    <w:rsid w:val="005A389C"/>
    <w:rsid w:val="005A5160"/>
    <w:rsid w:val="005A7192"/>
    <w:rsid w:val="005B3AE8"/>
    <w:rsid w:val="005B4D72"/>
    <w:rsid w:val="005B781A"/>
    <w:rsid w:val="005C3830"/>
    <w:rsid w:val="005C559E"/>
    <w:rsid w:val="005C629D"/>
    <w:rsid w:val="005C644A"/>
    <w:rsid w:val="005C7C7B"/>
    <w:rsid w:val="005D0A87"/>
    <w:rsid w:val="005D0E09"/>
    <w:rsid w:val="005D196D"/>
    <w:rsid w:val="005D1A4E"/>
    <w:rsid w:val="005D2E04"/>
    <w:rsid w:val="005D4C9F"/>
    <w:rsid w:val="005D753E"/>
    <w:rsid w:val="005E1533"/>
    <w:rsid w:val="005E260F"/>
    <w:rsid w:val="005E2656"/>
    <w:rsid w:val="005E390F"/>
    <w:rsid w:val="005E4C15"/>
    <w:rsid w:val="005E533B"/>
    <w:rsid w:val="005E7F1C"/>
    <w:rsid w:val="005F22E6"/>
    <w:rsid w:val="005F33FE"/>
    <w:rsid w:val="005F5AC8"/>
    <w:rsid w:val="005F6804"/>
    <w:rsid w:val="005F7653"/>
    <w:rsid w:val="005F7950"/>
    <w:rsid w:val="005F7BC6"/>
    <w:rsid w:val="00600F04"/>
    <w:rsid w:val="00602867"/>
    <w:rsid w:val="00603212"/>
    <w:rsid w:val="00603A02"/>
    <w:rsid w:val="006055F8"/>
    <w:rsid w:val="006071FC"/>
    <w:rsid w:val="0061390B"/>
    <w:rsid w:val="00615BFD"/>
    <w:rsid w:val="00615E7A"/>
    <w:rsid w:val="006262EE"/>
    <w:rsid w:val="0062788D"/>
    <w:rsid w:val="0063046A"/>
    <w:rsid w:val="00630C5A"/>
    <w:rsid w:val="00632103"/>
    <w:rsid w:val="00634206"/>
    <w:rsid w:val="00636D0B"/>
    <w:rsid w:val="00637CEB"/>
    <w:rsid w:val="00642AB6"/>
    <w:rsid w:val="00642D19"/>
    <w:rsid w:val="00643E5F"/>
    <w:rsid w:val="0065019E"/>
    <w:rsid w:val="006510BC"/>
    <w:rsid w:val="00652B0B"/>
    <w:rsid w:val="00652C9A"/>
    <w:rsid w:val="006575A3"/>
    <w:rsid w:val="00660AD8"/>
    <w:rsid w:val="00665BE2"/>
    <w:rsid w:val="0067020A"/>
    <w:rsid w:val="00673C89"/>
    <w:rsid w:val="00673EBC"/>
    <w:rsid w:val="00675030"/>
    <w:rsid w:val="00680824"/>
    <w:rsid w:val="00680F15"/>
    <w:rsid w:val="006817B9"/>
    <w:rsid w:val="006831A4"/>
    <w:rsid w:val="00683678"/>
    <w:rsid w:val="006854C5"/>
    <w:rsid w:val="00686F69"/>
    <w:rsid w:val="00687D8D"/>
    <w:rsid w:val="006909A4"/>
    <w:rsid w:val="0069630F"/>
    <w:rsid w:val="006969EB"/>
    <w:rsid w:val="006A0914"/>
    <w:rsid w:val="006A1014"/>
    <w:rsid w:val="006A277B"/>
    <w:rsid w:val="006A40D3"/>
    <w:rsid w:val="006A4C87"/>
    <w:rsid w:val="006A7D4D"/>
    <w:rsid w:val="006B19CE"/>
    <w:rsid w:val="006B45E4"/>
    <w:rsid w:val="006B6304"/>
    <w:rsid w:val="006B6E7C"/>
    <w:rsid w:val="006B7238"/>
    <w:rsid w:val="006C2283"/>
    <w:rsid w:val="006C2F3D"/>
    <w:rsid w:val="006C3CDA"/>
    <w:rsid w:val="006C3E25"/>
    <w:rsid w:val="006C409F"/>
    <w:rsid w:val="006D208F"/>
    <w:rsid w:val="006D6670"/>
    <w:rsid w:val="006E0310"/>
    <w:rsid w:val="006E08F9"/>
    <w:rsid w:val="006E0AED"/>
    <w:rsid w:val="006E16BC"/>
    <w:rsid w:val="006E26BE"/>
    <w:rsid w:val="006E69BA"/>
    <w:rsid w:val="006E7868"/>
    <w:rsid w:val="006E7930"/>
    <w:rsid w:val="006E7AD9"/>
    <w:rsid w:val="006F3D8F"/>
    <w:rsid w:val="006F43C6"/>
    <w:rsid w:val="006F5D71"/>
    <w:rsid w:val="006F6438"/>
    <w:rsid w:val="006F75F6"/>
    <w:rsid w:val="00700A9D"/>
    <w:rsid w:val="007031C2"/>
    <w:rsid w:val="00706213"/>
    <w:rsid w:val="00715188"/>
    <w:rsid w:val="00717B7A"/>
    <w:rsid w:val="0072018E"/>
    <w:rsid w:val="007220DC"/>
    <w:rsid w:val="0072541E"/>
    <w:rsid w:val="00725C20"/>
    <w:rsid w:val="00725D54"/>
    <w:rsid w:val="00727667"/>
    <w:rsid w:val="00730933"/>
    <w:rsid w:val="00731AAA"/>
    <w:rsid w:val="0073390A"/>
    <w:rsid w:val="00736549"/>
    <w:rsid w:val="0074309F"/>
    <w:rsid w:val="007444A6"/>
    <w:rsid w:val="00752EB9"/>
    <w:rsid w:val="00754BB9"/>
    <w:rsid w:val="007574D5"/>
    <w:rsid w:val="00761B19"/>
    <w:rsid w:val="00763C88"/>
    <w:rsid w:val="00763FCD"/>
    <w:rsid w:val="0076438D"/>
    <w:rsid w:val="0076450C"/>
    <w:rsid w:val="007656D6"/>
    <w:rsid w:val="00773560"/>
    <w:rsid w:val="007774E2"/>
    <w:rsid w:val="00781D2E"/>
    <w:rsid w:val="00783AD8"/>
    <w:rsid w:val="007843D2"/>
    <w:rsid w:val="00785FB1"/>
    <w:rsid w:val="00786464"/>
    <w:rsid w:val="00786A74"/>
    <w:rsid w:val="00787183"/>
    <w:rsid w:val="0079767E"/>
    <w:rsid w:val="007A02B5"/>
    <w:rsid w:val="007A0710"/>
    <w:rsid w:val="007A0ECE"/>
    <w:rsid w:val="007A2F7F"/>
    <w:rsid w:val="007A55A9"/>
    <w:rsid w:val="007A607F"/>
    <w:rsid w:val="007A7C47"/>
    <w:rsid w:val="007B2A89"/>
    <w:rsid w:val="007B39DB"/>
    <w:rsid w:val="007B3A24"/>
    <w:rsid w:val="007C0AD0"/>
    <w:rsid w:val="007C27B6"/>
    <w:rsid w:val="007C2B3E"/>
    <w:rsid w:val="007C42C4"/>
    <w:rsid w:val="007C6424"/>
    <w:rsid w:val="007C680D"/>
    <w:rsid w:val="007D0304"/>
    <w:rsid w:val="007D08C0"/>
    <w:rsid w:val="007D153E"/>
    <w:rsid w:val="007D1E03"/>
    <w:rsid w:val="007D615C"/>
    <w:rsid w:val="007D6612"/>
    <w:rsid w:val="007D6879"/>
    <w:rsid w:val="007D6953"/>
    <w:rsid w:val="007E164F"/>
    <w:rsid w:val="007E167B"/>
    <w:rsid w:val="007E4F7C"/>
    <w:rsid w:val="007F3B9B"/>
    <w:rsid w:val="007F5CA2"/>
    <w:rsid w:val="007F6AAB"/>
    <w:rsid w:val="007F76FC"/>
    <w:rsid w:val="007F7D87"/>
    <w:rsid w:val="007F7F50"/>
    <w:rsid w:val="0080186C"/>
    <w:rsid w:val="0080633F"/>
    <w:rsid w:val="008066D0"/>
    <w:rsid w:val="00806E26"/>
    <w:rsid w:val="00807450"/>
    <w:rsid w:val="00812A1C"/>
    <w:rsid w:val="0081532F"/>
    <w:rsid w:val="008154AB"/>
    <w:rsid w:val="008210F2"/>
    <w:rsid w:val="00824CF2"/>
    <w:rsid w:val="008257BE"/>
    <w:rsid w:val="00830F04"/>
    <w:rsid w:val="008319CE"/>
    <w:rsid w:val="00832683"/>
    <w:rsid w:val="00834B7B"/>
    <w:rsid w:val="00836008"/>
    <w:rsid w:val="008365B7"/>
    <w:rsid w:val="0084185D"/>
    <w:rsid w:val="0084512C"/>
    <w:rsid w:val="00846E1E"/>
    <w:rsid w:val="00847CD7"/>
    <w:rsid w:val="008500BF"/>
    <w:rsid w:val="008553F6"/>
    <w:rsid w:val="0085697E"/>
    <w:rsid w:val="00866F7B"/>
    <w:rsid w:val="0087236F"/>
    <w:rsid w:val="008726A2"/>
    <w:rsid w:val="00872B46"/>
    <w:rsid w:val="00873716"/>
    <w:rsid w:val="00874A52"/>
    <w:rsid w:val="00875366"/>
    <w:rsid w:val="00875777"/>
    <w:rsid w:val="00875925"/>
    <w:rsid w:val="00876236"/>
    <w:rsid w:val="00876A04"/>
    <w:rsid w:val="00876ADD"/>
    <w:rsid w:val="008806DF"/>
    <w:rsid w:val="00880D7B"/>
    <w:rsid w:val="00881D2F"/>
    <w:rsid w:val="00882F3F"/>
    <w:rsid w:val="00883D89"/>
    <w:rsid w:val="00885826"/>
    <w:rsid w:val="00885DB7"/>
    <w:rsid w:val="0088638C"/>
    <w:rsid w:val="008876E6"/>
    <w:rsid w:val="008878B1"/>
    <w:rsid w:val="008929E4"/>
    <w:rsid w:val="00893E2F"/>
    <w:rsid w:val="00893F97"/>
    <w:rsid w:val="008A1CD6"/>
    <w:rsid w:val="008B0B28"/>
    <w:rsid w:val="008B2036"/>
    <w:rsid w:val="008B52CB"/>
    <w:rsid w:val="008B53CA"/>
    <w:rsid w:val="008B5515"/>
    <w:rsid w:val="008B724A"/>
    <w:rsid w:val="008B7547"/>
    <w:rsid w:val="008C23CB"/>
    <w:rsid w:val="008C2DFF"/>
    <w:rsid w:val="008C7614"/>
    <w:rsid w:val="008D255A"/>
    <w:rsid w:val="008D5713"/>
    <w:rsid w:val="008D58BD"/>
    <w:rsid w:val="008D5C74"/>
    <w:rsid w:val="008E08BA"/>
    <w:rsid w:val="008E15AA"/>
    <w:rsid w:val="008E45D7"/>
    <w:rsid w:val="008E5EA6"/>
    <w:rsid w:val="008E6756"/>
    <w:rsid w:val="008F188A"/>
    <w:rsid w:val="008F6BBA"/>
    <w:rsid w:val="00900032"/>
    <w:rsid w:val="00900451"/>
    <w:rsid w:val="00900889"/>
    <w:rsid w:val="00900FC9"/>
    <w:rsid w:val="00902C6D"/>
    <w:rsid w:val="009036CF"/>
    <w:rsid w:val="00911B34"/>
    <w:rsid w:val="0091265F"/>
    <w:rsid w:val="00913B0B"/>
    <w:rsid w:val="00914AF4"/>
    <w:rsid w:val="00914F5F"/>
    <w:rsid w:val="0092384C"/>
    <w:rsid w:val="009242A8"/>
    <w:rsid w:val="00925A4C"/>
    <w:rsid w:val="00927087"/>
    <w:rsid w:val="009305F7"/>
    <w:rsid w:val="00931AC3"/>
    <w:rsid w:val="00931C22"/>
    <w:rsid w:val="00933661"/>
    <w:rsid w:val="00935EC1"/>
    <w:rsid w:val="0093642B"/>
    <w:rsid w:val="00937ED9"/>
    <w:rsid w:val="00940C4B"/>
    <w:rsid w:val="00945FE8"/>
    <w:rsid w:val="0094728D"/>
    <w:rsid w:val="00950CEF"/>
    <w:rsid w:val="00955E6D"/>
    <w:rsid w:val="009573F2"/>
    <w:rsid w:val="009647F0"/>
    <w:rsid w:val="00966F9D"/>
    <w:rsid w:val="00971348"/>
    <w:rsid w:val="009729E4"/>
    <w:rsid w:val="0097349E"/>
    <w:rsid w:val="00980567"/>
    <w:rsid w:val="00981B22"/>
    <w:rsid w:val="00981ECA"/>
    <w:rsid w:val="00985BA2"/>
    <w:rsid w:val="00992196"/>
    <w:rsid w:val="00992B0B"/>
    <w:rsid w:val="009961C4"/>
    <w:rsid w:val="009A0471"/>
    <w:rsid w:val="009A0656"/>
    <w:rsid w:val="009A2767"/>
    <w:rsid w:val="009A362E"/>
    <w:rsid w:val="009A3815"/>
    <w:rsid w:val="009A6051"/>
    <w:rsid w:val="009A714F"/>
    <w:rsid w:val="009B085A"/>
    <w:rsid w:val="009B1664"/>
    <w:rsid w:val="009B1ACF"/>
    <w:rsid w:val="009B1F47"/>
    <w:rsid w:val="009B2C9B"/>
    <w:rsid w:val="009B4520"/>
    <w:rsid w:val="009B4A8A"/>
    <w:rsid w:val="009B4EB1"/>
    <w:rsid w:val="009B5112"/>
    <w:rsid w:val="009B6C87"/>
    <w:rsid w:val="009B7337"/>
    <w:rsid w:val="009B75A2"/>
    <w:rsid w:val="009C146A"/>
    <w:rsid w:val="009C3B66"/>
    <w:rsid w:val="009C56B7"/>
    <w:rsid w:val="009C56FC"/>
    <w:rsid w:val="009C5BAA"/>
    <w:rsid w:val="009C61E6"/>
    <w:rsid w:val="009C67DF"/>
    <w:rsid w:val="009C71E4"/>
    <w:rsid w:val="009C7F98"/>
    <w:rsid w:val="009D22D5"/>
    <w:rsid w:val="009D4A0D"/>
    <w:rsid w:val="009D4B51"/>
    <w:rsid w:val="009D4C3C"/>
    <w:rsid w:val="009D7E3B"/>
    <w:rsid w:val="009E1F5A"/>
    <w:rsid w:val="009E2E0C"/>
    <w:rsid w:val="009E4CBF"/>
    <w:rsid w:val="009E5FF1"/>
    <w:rsid w:val="009E6294"/>
    <w:rsid w:val="009F0628"/>
    <w:rsid w:val="009F0EB9"/>
    <w:rsid w:val="009F1DB3"/>
    <w:rsid w:val="009F205F"/>
    <w:rsid w:val="009F5980"/>
    <w:rsid w:val="00A008BF"/>
    <w:rsid w:val="00A017D3"/>
    <w:rsid w:val="00A02C77"/>
    <w:rsid w:val="00A0503D"/>
    <w:rsid w:val="00A107C7"/>
    <w:rsid w:val="00A130A1"/>
    <w:rsid w:val="00A143B9"/>
    <w:rsid w:val="00A17371"/>
    <w:rsid w:val="00A22FA6"/>
    <w:rsid w:val="00A23416"/>
    <w:rsid w:val="00A237AD"/>
    <w:rsid w:val="00A27DE7"/>
    <w:rsid w:val="00A31A21"/>
    <w:rsid w:val="00A3685D"/>
    <w:rsid w:val="00A40AD7"/>
    <w:rsid w:val="00A40FF9"/>
    <w:rsid w:val="00A42D48"/>
    <w:rsid w:val="00A45982"/>
    <w:rsid w:val="00A4639D"/>
    <w:rsid w:val="00A47940"/>
    <w:rsid w:val="00A54C46"/>
    <w:rsid w:val="00A56704"/>
    <w:rsid w:val="00A56AB0"/>
    <w:rsid w:val="00A56FDB"/>
    <w:rsid w:val="00A60D30"/>
    <w:rsid w:val="00A61379"/>
    <w:rsid w:val="00A61874"/>
    <w:rsid w:val="00A63245"/>
    <w:rsid w:val="00A65B65"/>
    <w:rsid w:val="00A66F8D"/>
    <w:rsid w:val="00A708D1"/>
    <w:rsid w:val="00A71400"/>
    <w:rsid w:val="00A73543"/>
    <w:rsid w:val="00A73602"/>
    <w:rsid w:val="00A74245"/>
    <w:rsid w:val="00A7677F"/>
    <w:rsid w:val="00A81347"/>
    <w:rsid w:val="00A813C8"/>
    <w:rsid w:val="00A81DAA"/>
    <w:rsid w:val="00A82F5A"/>
    <w:rsid w:val="00A84A9A"/>
    <w:rsid w:val="00A8650D"/>
    <w:rsid w:val="00A9308C"/>
    <w:rsid w:val="00A96A34"/>
    <w:rsid w:val="00A9792C"/>
    <w:rsid w:val="00AA02C9"/>
    <w:rsid w:val="00AA21BB"/>
    <w:rsid w:val="00AA3658"/>
    <w:rsid w:val="00AA613D"/>
    <w:rsid w:val="00AA6395"/>
    <w:rsid w:val="00AA7546"/>
    <w:rsid w:val="00AB1E27"/>
    <w:rsid w:val="00AB339C"/>
    <w:rsid w:val="00AB419D"/>
    <w:rsid w:val="00AB453B"/>
    <w:rsid w:val="00AB5E1E"/>
    <w:rsid w:val="00AB662A"/>
    <w:rsid w:val="00AB7F34"/>
    <w:rsid w:val="00AC2D19"/>
    <w:rsid w:val="00AC4580"/>
    <w:rsid w:val="00AC4A7A"/>
    <w:rsid w:val="00AC5960"/>
    <w:rsid w:val="00AC77A9"/>
    <w:rsid w:val="00AD014C"/>
    <w:rsid w:val="00AD081D"/>
    <w:rsid w:val="00AD2DE4"/>
    <w:rsid w:val="00AD30D1"/>
    <w:rsid w:val="00AD770C"/>
    <w:rsid w:val="00AE1E0E"/>
    <w:rsid w:val="00AE1F7E"/>
    <w:rsid w:val="00AE5DE2"/>
    <w:rsid w:val="00AE788B"/>
    <w:rsid w:val="00AF08E1"/>
    <w:rsid w:val="00AF095E"/>
    <w:rsid w:val="00AF5629"/>
    <w:rsid w:val="00AF5951"/>
    <w:rsid w:val="00AF795A"/>
    <w:rsid w:val="00B0304D"/>
    <w:rsid w:val="00B108AD"/>
    <w:rsid w:val="00B12F24"/>
    <w:rsid w:val="00B14AD5"/>
    <w:rsid w:val="00B1709C"/>
    <w:rsid w:val="00B20ED2"/>
    <w:rsid w:val="00B24667"/>
    <w:rsid w:val="00B246F7"/>
    <w:rsid w:val="00B25927"/>
    <w:rsid w:val="00B279DF"/>
    <w:rsid w:val="00B303F0"/>
    <w:rsid w:val="00B3555A"/>
    <w:rsid w:val="00B40D79"/>
    <w:rsid w:val="00B40E80"/>
    <w:rsid w:val="00B4154C"/>
    <w:rsid w:val="00B439BC"/>
    <w:rsid w:val="00B4483E"/>
    <w:rsid w:val="00B44852"/>
    <w:rsid w:val="00B451D4"/>
    <w:rsid w:val="00B46F78"/>
    <w:rsid w:val="00B471A4"/>
    <w:rsid w:val="00B5176D"/>
    <w:rsid w:val="00B52C87"/>
    <w:rsid w:val="00B53410"/>
    <w:rsid w:val="00B54B60"/>
    <w:rsid w:val="00B57BF9"/>
    <w:rsid w:val="00B60F17"/>
    <w:rsid w:val="00B6253D"/>
    <w:rsid w:val="00B63E94"/>
    <w:rsid w:val="00B646BB"/>
    <w:rsid w:val="00B646EE"/>
    <w:rsid w:val="00B65A0C"/>
    <w:rsid w:val="00B66D26"/>
    <w:rsid w:val="00B6707F"/>
    <w:rsid w:val="00B71A55"/>
    <w:rsid w:val="00B735A3"/>
    <w:rsid w:val="00B744E1"/>
    <w:rsid w:val="00B818A0"/>
    <w:rsid w:val="00B825B0"/>
    <w:rsid w:val="00B8482B"/>
    <w:rsid w:val="00B861A2"/>
    <w:rsid w:val="00B86BA6"/>
    <w:rsid w:val="00B86D5A"/>
    <w:rsid w:val="00B87490"/>
    <w:rsid w:val="00B87BEE"/>
    <w:rsid w:val="00B931C6"/>
    <w:rsid w:val="00B969CF"/>
    <w:rsid w:val="00BA0514"/>
    <w:rsid w:val="00BA1527"/>
    <w:rsid w:val="00BA2C64"/>
    <w:rsid w:val="00BA623E"/>
    <w:rsid w:val="00BA739E"/>
    <w:rsid w:val="00BB0374"/>
    <w:rsid w:val="00BB0FED"/>
    <w:rsid w:val="00BB3D0F"/>
    <w:rsid w:val="00BB405B"/>
    <w:rsid w:val="00BB4901"/>
    <w:rsid w:val="00BB5E0F"/>
    <w:rsid w:val="00BC04F3"/>
    <w:rsid w:val="00BC5FC6"/>
    <w:rsid w:val="00BD2704"/>
    <w:rsid w:val="00BD33FC"/>
    <w:rsid w:val="00BD3462"/>
    <w:rsid w:val="00BD3982"/>
    <w:rsid w:val="00BD7065"/>
    <w:rsid w:val="00BD723B"/>
    <w:rsid w:val="00BE5BE1"/>
    <w:rsid w:val="00BF00CE"/>
    <w:rsid w:val="00BF1806"/>
    <w:rsid w:val="00BF30C9"/>
    <w:rsid w:val="00BF330E"/>
    <w:rsid w:val="00BF4026"/>
    <w:rsid w:val="00BF48AB"/>
    <w:rsid w:val="00BF583C"/>
    <w:rsid w:val="00BF6064"/>
    <w:rsid w:val="00BF7AC6"/>
    <w:rsid w:val="00BF7AFF"/>
    <w:rsid w:val="00C00169"/>
    <w:rsid w:val="00C02011"/>
    <w:rsid w:val="00C02999"/>
    <w:rsid w:val="00C041BB"/>
    <w:rsid w:val="00C04531"/>
    <w:rsid w:val="00C04C90"/>
    <w:rsid w:val="00C05224"/>
    <w:rsid w:val="00C068C0"/>
    <w:rsid w:val="00C070BE"/>
    <w:rsid w:val="00C07701"/>
    <w:rsid w:val="00C1099D"/>
    <w:rsid w:val="00C11A02"/>
    <w:rsid w:val="00C12850"/>
    <w:rsid w:val="00C1323F"/>
    <w:rsid w:val="00C156D1"/>
    <w:rsid w:val="00C2281E"/>
    <w:rsid w:val="00C25282"/>
    <w:rsid w:val="00C25358"/>
    <w:rsid w:val="00C26F62"/>
    <w:rsid w:val="00C31D08"/>
    <w:rsid w:val="00C3269B"/>
    <w:rsid w:val="00C32E06"/>
    <w:rsid w:val="00C3465F"/>
    <w:rsid w:val="00C3501F"/>
    <w:rsid w:val="00C414E9"/>
    <w:rsid w:val="00C42309"/>
    <w:rsid w:val="00C445A8"/>
    <w:rsid w:val="00C4598E"/>
    <w:rsid w:val="00C459B3"/>
    <w:rsid w:val="00C45F2B"/>
    <w:rsid w:val="00C45F57"/>
    <w:rsid w:val="00C46CFB"/>
    <w:rsid w:val="00C47032"/>
    <w:rsid w:val="00C4771D"/>
    <w:rsid w:val="00C517DC"/>
    <w:rsid w:val="00C549B0"/>
    <w:rsid w:val="00C56437"/>
    <w:rsid w:val="00C565E9"/>
    <w:rsid w:val="00C578B5"/>
    <w:rsid w:val="00C57A81"/>
    <w:rsid w:val="00C63F02"/>
    <w:rsid w:val="00C655BE"/>
    <w:rsid w:val="00C70980"/>
    <w:rsid w:val="00C71A76"/>
    <w:rsid w:val="00C7246B"/>
    <w:rsid w:val="00C75B95"/>
    <w:rsid w:val="00C806CF"/>
    <w:rsid w:val="00C834F0"/>
    <w:rsid w:val="00C84DD9"/>
    <w:rsid w:val="00C852CD"/>
    <w:rsid w:val="00C90458"/>
    <w:rsid w:val="00C9153E"/>
    <w:rsid w:val="00C93F9A"/>
    <w:rsid w:val="00C9485E"/>
    <w:rsid w:val="00C95A8A"/>
    <w:rsid w:val="00C96827"/>
    <w:rsid w:val="00C97A36"/>
    <w:rsid w:val="00CA0972"/>
    <w:rsid w:val="00CA4A37"/>
    <w:rsid w:val="00CA61D3"/>
    <w:rsid w:val="00CA7B70"/>
    <w:rsid w:val="00CB22FB"/>
    <w:rsid w:val="00CB3129"/>
    <w:rsid w:val="00CB3D46"/>
    <w:rsid w:val="00CB4052"/>
    <w:rsid w:val="00CB5EC0"/>
    <w:rsid w:val="00CB5ECE"/>
    <w:rsid w:val="00CC5C2B"/>
    <w:rsid w:val="00CC669E"/>
    <w:rsid w:val="00CC6A63"/>
    <w:rsid w:val="00CC6F88"/>
    <w:rsid w:val="00CC781E"/>
    <w:rsid w:val="00CD12B0"/>
    <w:rsid w:val="00CD2CDE"/>
    <w:rsid w:val="00CE28AB"/>
    <w:rsid w:val="00CE3E23"/>
    <w:rsid w:val="00CE3FB3"/>
    <w:rsid w:val="00CE437F"/>
    <w:rsid w:val="00CE5561"/>
    <w:rsid w:val="00CE5751"/>
    <w:rsid w:val="00CE64E4"/>
    <w:rsid w:val="00CE7A36"/>
    <w:rsid w:val="00CF2970"/>
    <w:rsid w:val="00CF71D0"/>
    <w:rsid w:val="00D04FA5"/>
    <w:rsid w:val="00D067F6"/>
    <w:rsid w:val="00D0791E"/>
    <w:rsid w:val="00D12135"/>
    <w:rsid w:val="00D123E8"/>
    <w:rsid w:val="00D13E5A"/>
    <w:rsid w:val="00D14A1C"/>
    <w:rsid w:val="00D15CDD"/>
    <w:rsid w:val="00D160CE"/>
    <w:rsid w:val="00D17120"/>
    <w:rsid w:val="00D17861"/>
    <w:rsid w:val="00D2213D"/>
    <w:rsid w:val="00D22886"/>
    <w:rsid w:val="00D2355E"/>
    <w:rsid w:val="00D33294"/>
    <w:rsid w:val="00D34E79"/>
    <w:rsid w:val="00D3674F"/>
    <w:rsid w:val="00D36A56"/>
    <w:rsid w:val="00D36D35"/>
    <w:rsid w:val="00D36DFF"/>
    <w:rsid w:val="00D40ABC"/>
    <w:rsid w:val="00D41853"/>
    <w:rsid w:val="00D43EAC"/>
    <w:rsid w:val="00D45F7B"/>
    <w:rsid w:val="00D464EA"/>
    <w:rsid w:val="00D5095A"/>
    <w:rsid w:val="00D646A8"/>
    <w:rsid w:val="00D65E8C"/>
    <w:rsid w:val="00D70AC1"/>
    <w:rsid w:val="00D72B24"/>
    <w:rsid w:val="00D739EE"/>
    <w:rsid w:val="00D74590"/>
    <w:rsid w:val="00D74A64"/>
    <w:rsid w:val="00D75B86"/>
    <w:rsid w:val="00D76332"/>
    <w:rsid w:val="00D76A54"/>
    <w:rsid w:val="00D77908"/>
    <w:rsid w:val="00D77CD1"/>
    <w:rsid w:val="00D77E80"/>
    <w:rsid w:val="00D826AA"/>
    <w:rsid w:val="00D839BF"/>
    <w:rsid w:val="00D86844"/>
    <w:rsid w:val="00D90995"/>
    <w:rsid w:val="00D929E7"/>
    <w:rsid w:val="00D93F87"/>
    <w:rsid w:val="00D94562"/>
    <w:rsid w:val="00D974F1"/>
    <w:rsid w:val="00DA0B5E"/>
    <w:rsid w:val="00DA4923"/>
    <w:rsid w:val="00DA6C7D"/>
    <w:rsid w:val="00DB078C"/>
    <w:rsid w:val="00DB27D2"/>
    <w:rsid w:val="00DB7108"/>
    <w:rsid w:val="00DC0076"/>
    <w:rsid w:val="00DC070F"/>
    <w:rsid w:val="00DC0C0E"/>
    <w:rsid w:val="00DC1270"/>
    <w:rsid w:val="00DC2DB2"/>
    <w:rsid w:val="00DD2074"/>
    <w:rsid w:val="00DD42ED"/>
    <w:rsid w:val="00DD4B13"/>
    <w:rsid w:val="00DD4C67"/>
    <w:rsid w:val="00DD5606"/>
    <w:rsid w:val="00DE088E"/>
    <w:rsid w:val="00DE2B28"/>
    <w:rsid w:val="00DF56C7"/>
    <w:rsid w:val="00E114C5"/>
    <w:rsid w:val="00E11F57"/>
    <w:rsid w:val="00E15347"/>
    <w:rsid w:val="00E15D0A"/>
    <w:rsid w:val="00E247B6"/>
    <w:rsid w:val="00E24C3B"/>
    <w:rsid w:val="00E2527F"/>
    <w:rsid w:val="00E270F3"/>
    <w:rsid w:val="00E303E8"/>
    <w:rsid w:val="00E31B4B"/>
    <w:rsid w:val="00E338ED"/>
    <w:rsid w:val="00E33A34"/>
    <w:rsid w:val="00E375EC"/>
    <w:rsid w:val="00E379D8"/>
    <w:rsid w:val="00E37A67"/>
    <w:rsid w:val="00E400B4"/>
    <w:rsid w:val="00E43AFE"/>
    <w:rsid w:val="00E44506"/>
    <w:rsid w:val="00E44ECD"/>
    <w:rsid w:val="00E543F6"/>
    <w:rsid w:val="00E55724"/>
    <w:rsid w:val="00E5630D"/>
    <w:rsid w:val="00E613CC"/>
    <w:rsid w:val="00E62ACE"/>
    <w:rsid w:val="00E66632"/>
    <w:rsid w:val="00E66DD0"/>
    <w:rsid w:val="00E674D2"/>
    <w:rsid w:val="00E76BBD"/>
    <w:rsid w:val="00E81250"/>
    <w:rsid w:val="00E8180C"/>
    <w:rsid w:val="00E826B1"/>
    <w:rsid w:val="00E86620"/>
    <w:rsid w:val="00E86A66"/>
    <w:rsid w:val="00E87BC1"/>
    <w:rsid w:val="00E915B7"/>
    <w:rsid w:val="00E9196F"/>
    <w:rsid w:val="00E9276F"/>
    <w:rsid w:val="00E94ADB"/>
    <w:rsid w:val="00E95C0C"/>
    <w:rsid w:val="00EA0795"/>
    <w:rsid w:val="00EA36CD"/>
    <w:rsid w:val="00EA6DBC"/>
    <w:rsid w:val="00EA7657"/>
    <w:rsid w:val="00EB026F"/>
    <w:rsid w:val="00EB0DA1"/>
    <w:rsid w:val="00EB0ED6"/>
    <w:rsid w:val="00EC28FE"/>
    <w:rsid w:val="00EC2FD0"/>
    <w:rsid w:val="00EC476F"/>
    <w:rsid w:val="00EC482B"/>
    <w:rsid w:val="00EC48B3"/>
    <w:rsid w:val="00EC5D48"/>
    <w:rsid w:val="00ED014B"/>
    <w:rsid w:val="00ED49A3"/>
    <w:rsid w:val="00EE526B"/>
    <w:rsid w:val="00EE584D"/>
    <w:rsid w:val="00EF55E5"/>
    <w:rsid w:val="00F036E1"/>
    <w:rsid w:val="00F037EC"/>
    <w:rsid w:val="00F03FAF"/>
    <w:rsid w:val="00F048B3"/>
    <w:rsid w:val="00F06867"/>
    <w:rsid w:val="00F06BD0"/>
    <w:rsid w:val="00F07C3D"/>
    <w:rsid w:val="00F11660"/>
    <w:rsid w:val="00F14EFE"/>
    <w:rsid w:val="00F16D4F"/>
    <w:rsid w:val="00F207B4"/>
    <w:rsid w:val="00F22DA0"/>
    <w:rsid w:val="00F23D14"/>
    <w:rsid w:val="00F25861"/>
    <w:rsid w:val="00F2712F"/>
    <w:rsid w:val="00F31570"/>
    <w:rsid w:val="00F31B3E"/>
    <w:rsid w:val="00F320D2"/>
    <w:rsid w:val="00F40637"/>
    <w:rsid w:val="00F421BE"/>
    <w:rsid w:val="00F43BDC"/>
    <w:rsid w:val="00F543D5"/>
    <w:rsid w:val="00F55781"/>
    <w:rsid w:val="00F55A32"/>
    <w:rsid w:val="00F55A39"/>
    <w:rsid w:val="00F6088B"/>
    <w:rsid w:val="00F619EA"/>
    <w:rsid w:val="00F63568"/>
    <w:rsid w:val="00F65152"/>
    <w:rsid w:val="00F659FE"/>
    <w:rsid w:val="00F71128"/>
    <w:rsid w:val="00F71546"/>
    <w:rsid w:val="00F759E4"/>
    <w:rsid w:val="00F77DB1"/>
    <w:rsid w:val="00F81584"/>
    <w:rsid w:val="00F824E2"/>
    <w:rsid w:val="00F83FA0"/>
    <w:rsid w:val="00F858EE"/>
    <w:rsid w:val="00F87565"/>
    <w:rsid w:val="00F96D75"/>
    <w:rsid w:val="00FA2185"/>
    <w:rsid w:val="00FA2384"/>
    <w:rsid w:val="00FB25B4"/>
    <w:rsid w:val="00FB3C0C"/>
    <w:rsid w:val="00FB5572"/>
    <w:rsid w:val="00FB572D"/>
    <w:rsid w:val="00FB6455"/>
    <w:rsid w:val="00FB794B"/>
    <w:rsid w:val="00FC04AB"/>
    <w:rsid w:val="00FC585F"/>
    <w:rsid w:val="00FC7EAE"/>
    <w:rsid w:val="00FD11A9"/>
    <w:rsid w:val="00FD2056"/>
    <w:rsid w:val="00FD3071"/>
    <w:rsid w:val="00FD3F2B"/>
    <w:rsid w:val="00FD6AAB"/>
    <w:rsid w:val="00FD6EC6"/>
    <w:rsid w:val="00FD7360"/>
    <w:rsid w:val="00FE1E24"/>
    <w:rsid w:val="00FE3C29"/>
    <w:rsid w:val="00FE4086"/>
    <w:rsid w:val="00FE4BFD"/>
    <w:rsid w:val="00FE5160"/>
    <w:rsid w:val="00FE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7A0DC"/>
  <w15:chartTrackingRefBased/>
  <w15:docId w15:val="{5C216983-69C2-4FC1-ADF8-76956420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23E"/>
    <w:pPr>
      <w:tabs>
        <w:tab w:val="left" w:pos="2842"/>
      </w:tabs>
      <w:spacing w:before="120" w:after="120"/>
      <w:jc w:val="both"/>
    </w:pPr>
    <w:rPr>
      <w:rFonts w:ascii="Arial" w:hAnsi="Arial"/>
      <w:szCs w:val="24"/>
      <w:lang w:val="en-CA"/>
    </w:rPr>
  </w:style>
  <w:style w:type="paragraph" w:styleId="Heading1">
    <w:name w:val="heading 1"/>
    <w:basedOn w:val="Normal"/>
    <w:next w:val="Normal"/>
    <w:autoRedefine/>
    <w:qFormat/>
    <w:rsid w:val="00AA21BB"/>
    <w:pPr>
      <w:keepNext/>
      <w:jc w:val="center"/>
      <w:outlineLvl w:val="0"/>
    </w:pPr>
    <w:rPr>
      <w:rFonts w:ascii="Arial Bold" w:hAnsi="Arial Bold" w:cs="Arial"/>
      <w:b/>
      <w:bCs/>
      <w:smallCaps/>
      <w:kern w:val="32"/>
      <w:sz w:val="40"/>
      <w:szCs w:val="40"/>
    </w:rPr>
  </w:style>
  <w:style w:type="paragraph" w:styleId="Heading2">
    <w:name w:val="heading 2"/>
    <w:basedOn w:val="Normal"/>
    <w:next w:val="Normal"/>
    <w:autoRedefine/>
    <w:qFormat/>
    <w:rsid w:val="00BA623E"/>
    <w:pPr>
      <w:keepNext/>
      <w:jc w:val="left"/>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C22"/>
    <w:pPr>
      <w:tabs>
        <w:tab w:val="center" w:pos="4320"/>
        <w:tab w:val="right" w:pos="8640"/>
      </w:tabs>
      <w:spacing w:before="0" w:after="0"/>
      <w:jc w:val="right"/>
    </w:pPr>
  </w:style>
  <w:style w:type="paragraph" w:styleId="Footer">
    <w:name w:val="footer"/>
    <w:basedOn w:val="Normal"/>
    <w:rsid w:val="00047CC0"/>
    <w:pPr>
      <w:tabs>
        <w:tab w:val="center" w:pos="4320"/>
        <w:tab w:val="right" w:pos="8640"/>
      </w:tabs>
    </w:pPr>
  </w:style>
  <w:style w:type="paragraph" w:styleId="Title">
    <w:name w:val="Title"/>
    <w:basedOn w:val="Normal"/>
    <w:qFormat/>
    <w:rsid w:val="00CB5EC0"/>
    <w:pPr>
      <w:spacing w:before="240" w:after="60"/>
      <w:jc w:val="center"/>
      <w:outlineLvl w:val="0"/>
    </w:pPr>
    <w:rPr>
      <w:rFonts w:cs="Arial"/>
      <w:b/>
      <w:bCs/>
      <w:kern w:val="28"/>
      <w:sz w:val="40"/>
      <w:szCs w:val="32"/>
    </w:rPr>
  </w:style>
  <w:style w:type="paragraph" w:customStyle="1" w:styleId="Tableau">
    <w:name w:val="Tableau"/>
    <w:basedOn w:val="Header"/>
    <w:rsid w:val="005E390F"/>
    <w:pPr>
      <w:tabs>
        <w:tab w:val="clear" w:pos="4320"/>
        <w:tab w:val="clear" w:pos="8640"/>
      </w:tabs>
      <w:spacing w:before="60" w:after="60"/>
    </w:pPr>
    <w:rPr>
      <w:rFonts w:ascii="Times New Roman" w:hAnsi="Times New Roman" w:cs="Arial"/>
      <w:sz w:val="18"/>
      <w:szCs w:val="20"/>
      <w:lang w:eastAsia="fr-FR"/>
    </w:rPr>
  </w:style>
  <w:style w:type="table" w:styleId="TableGrid">
    <w:name w:val="Table Grid"/>
    <w:basedOn w:val="TableNormal"/>
    <w:rsid w:val="00A0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1125"/>
  </w:style>
  <w:style w:type="paragraph" w:styleId="TOC1">
    <w:name w:val="toc 1"/>
    <w:basedOn w:val="Normal"/>
    <w:next w:val="Normal"/>
    <w:autoRedefine/>
    <w:uiPriority w:val="39"/>
    <w:rsid w:val="002777E1"/>
    <w:pPr>
      <w:tabs>
        <w:tab w:val="clear" w:pos="2842"/>
        <w:tab w:val="right" w:leader="dot" w:pos="9926"/>
      </w:tabs>
    </w:pPr>
    <w:rPr>
      <w:b/>
      <w:caps/>
    </w:rPr>
  </w:style>
  <w:style w:type="character" w:styleId="Hyperlink">
    <w:name w:val="Hyperlink"/>
    <w:uiPriority w:val="99"/>
    <w:rsid w:val="00291125"/>
    <w:rPr>
      <w:color w:val="0000FF"/>
      <w:u w:val="single"/>
    </w:rPr>
  </w:style>
  <w:style w:type="character" w:customStyle="1" w:styleId="ToddSauv">
    <w:name w:val="Todd Sauvé"/>
    <w:semiHidden/>
    <w:rsid w:val="00FB794B"/>
    <w:rPr>
      <w:rFonts w:ascii="Arial" w:hAnsi="Arial" w:cs="Arial"/>
      <w:b w:val="0"/>
      <w:bCs w:val="0"/>
      <w:i w:val="0"/>
      <w:iCs w:val="0"/>
      <w:strike w:val="0"/>
      <w:color w:val="000080"/>
      <w:sz w:val="20"/>
      <w:szCs w:val="20"/>
      <w:u w:val="none"/>
    </w:rPr>
  </w:style>
  <w:style w:type="paragraph" w:customStyle="1" w:styleId="TOC">
    <w:name w:val="TOC"/>
    <w:basedOn w:val="Normal"/>
    <w:rsid w:val="00BA623E"/>
    <w:pPr>
      <w:spacing w:after="240"/>
      <w:jc w:val="center"/>
    </w:pPr>
    <w:rPr>
      <w:rFonts w:ascii="Arial Bold" w:hAnsi="Arial Bold"/>
      <w:b/>
      <w:caps/>
      <w:sz w:val="32"/>
    </w:rPr>
  </w:style>
  <w:style w:type="paragraph" w:styleId="TOC2">
    <w:name w:val="toc 2"/>
    <w:basedOn w:val="Normal"/>
    <w:next w:val="Normal"/>
    <w:autoRedefine/>
    <w:uiPriority w:val="39"/>
    <w:rsid w:val="002777E1"/>
    <w:pPr>
      <w:tabs>
        <w:tab w:val="clear" w:pos="2842"/>
      </w:tabs>
      <w:ind w:left="202"/>
    </w:pPr>
    <w:rPr>
      <w:smallCaps/>
    </w:rPr>
  </w:style>
  <w:style w:type="paragraph" w:customStyle="1" w:styleId="DiagramTitle">
    <w:name w:val="Diagram Title"/>
    <w:basedOn w:val="Normal"/>
    <w:rsid w:val="001E528D"/>
    <w:pPr>
      <w:jc w:val="center"/>
    </w:pPr>
    <w:rPr>
      <w:b/>
    </w:rPr>
  </w:style>
  <w:style w:type="paragraph" w:customStyle="1" w:styleId="TableTextBold">
    <w:name w:val="Table Text Bold"/>
    <w:basedOn w:val="Normal"/>
    <w:rsid w:val="009B1664"/>
    <w:rPr>
      <w:b/>
    </w:rPr>
  </w:style>
  <w:style w:type="paragraph" w:customStyle="1" w:styleId="FooterRight">
    <w:name w:val="Footer Right"/>
    <w:basedOn w:val="Footer"/>
    <w:rsid w:val="00885DB7"/>
    <w:pPr>
      <w:jc w:val="right"/>
    </w:pPr>
  </w:style>
  <w:style w:type="paragraph" w:customStyle="1" w:styleId="HeadingTitle">
    <w:name w:val="Heading Title"/>
    <w:basedOn w:val="Normal"/>
    <w:rsid w:val="00BA623E"/>
    <w:pPr>
      <w:jc w:val="center"/>
    </w:pPr>
    <w:rPr>
      <w:rFonts w:ascii="Arial Bold" w:hAnsi="Arial Bold"/>
      <w:b/>
      <w:smallCaps/>
      <w:sz w:val="48"/>
    </w:rPr>
  </w:style>
  <w:style w:type="paragraph" w:customStyle="1" w:styleId="Contactinfo">
    <w:name w:val="Contact info"/>
    <w:basedOn w:val="Normal"/>
    <w:rsid w:val="003E5333"/>
    <w:rPr>
      <w:sz w:val="16"/>
    </w:rPr>
  </w:style>
  <w:style w:type="paragraph" w:styleId="BalloonText">
    <w:name w:val="Balloon Text"/>
    <w:basedOn w:val="Normal"/>
    <w:semiHidden/>
    <w:rsid w:val="00A56704"/>
    <w:rPr>
      <w:rFonts w:ascii="Tahoma" w:hAnsi="Tahoma" w:cs="Tahoma"/>
      <w:sz w:val="16"/>
      <w:szCs w:val="16"/>
    </w:rPr>
  </w:style>
  <w:style w:type="character" w:styleId="CommentReference">
    <w:name w:val="annotation reference"/>
    <w:semiHidden/>
    <w:rsid w:val="00A56704"/>
    <w:rPr>
      <w:sz w:val="16"/>
      <w:szCs w:val="16"/>
    </w:rPr>
  </w:style>
  <w:style w:type="paragraph" w:styleId="CommentText">
    <w:name w:val="annotation text"/>
    <w:basedOn w:val="Normal"/>
    <w:semiHidden/>
    <w:rsid w:val="00A56704"/>
    <w:rPr>
      <w:szCs w:val="20"/>
    </w:rPr>
  </w:style>
  <w:style w:type="paragraph" w:styleId="CommentSubject">
    <w:name w:val="annotation subject"/>
    <w:basedOn w:val="CommentText"/>
    <w:next w:val="CommentText"/>
    <w:semiHidden/>
    <w:rsid w:val="00A56704"/>
    <w:rPr>
      <w:b/>
      <w:bCs/>
    </w:rPr>
  </w:style>
  <w:style w:type="paragraph" w:customStyle="1" w:styleId="NormalBold">
    <w:name w:val="Normal Bold"/>
    <w:basedOn w:val="Normal"/>
    <w:link w:val="NormalBoldChar"/>
    <w:rsid w:val="000C5E50"/>
    <w:pPr>
      <w:jc w:val="left"/>
    </w:pPr>
    <w:rPr>
      <w:b/>
    </w:rPr>
  </w:style>
  <w:style w:type="paragraph" w:customStyle="1" w:styleId="Style1">
    <w:name w:val="Style1"/>
    <w:basedOn w:val="Normal"/>
    <w:next w:val="NormalBold"/>
    <w:rsid w:val="000C5E50"/>
    <w:pPr>
      <w:jc w:val="center"/>
    </w:pPr>
    <w:rPr>
      <w:b/>
    </w:rPr>
  </w:style>
  <w:style w:type="character" w:customStyle="1" w:styleId="NormalBoldChar">
    <w:name w:val="Normal Bold Char"/>
    <w:link w:val="NormalBold"/>
    <w:rsid w:val="000C5E50"/>
    <w:rPr>
      <w:rFonts w:ascii="Arial" w:hAnsi="Arial"/>
      <w:b/>
      <w:szCs w:val="24"/>
      <w:lang w:val="en-CA" w:eastAsia="en-US" w:bidi="ar-SA"/>
    </w:rPr>
  </w:style>
  <w:style w:type="paragraph" w:customStyle="1" w:styleId="NormalCentered">
    <w:name w:val="Normal Centered"/>
    <w:basedOn w:val="Normal"/>
    <w:rsid w:val="000C5E50"/>
    <w:pPr>
      <w:jc w:val="center"/>
    </w:pPr>
  </w:style>
  <w:style w:type="paragraph" w:customStyle="1" w:styleId="NormalBoldCenter">
    <w:name w:val="Normal Bold Center"/>
    <w:basedOn w:val="NormalBold"/>
    <w:autoRedefine/>
    <w:rsid w:val="00BA623E"/>
    <w:pPr>
      <w:jc w:val="center"/>
    </w:pPr>
  </w:style>
  <w:style w:type="table" w:customStyle="1" w:styleId="TableGrid0">
    <w:name w:val="TableGrid"/>
    <w:rsid w:val="008878B1"/>
    <w:rPr>
      <w:rFonts w:ascii="Calibri" w:hAnsi="Calibr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167310"/>
    <w:rPr>
      <w:color w:val="808080"/>
    </w:rPr>
  </w:style>
  <w:style w:type="paragraph" w:styleId="ListParagraph">
    <w:name w:val="List Paragraph"/>
    <w:basedOn w:val="Normal"/>
    <w:uiPriority w:val="34"/>
    <w:qFormat/>
    <w:rsid w:val="00992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141296">
      <w:bodyDiv w:val="1"/>
      <w:marLeft w:val="0"/>
      <w:marRight w:val="0"/>
      <w:marTop w:val="0"/>
      <w:marBottom w:val="0"/>
      <w:divBdr>
        <w:top w:val="none" w:sz="0" w:space="0" w:color="auto"/>
        <w:left w:val="none" w:sz="0" w:space="0" w:color="auto"/>
        <w:bottom w:val="none" w:sz="0" w:space="0" w:color="auto"/>
        <w:right w:val="none" w:sz="0" w:space="0" w:color="auto"/>
      </w:divBdr>
    </w:div>
    <w:div w:id="19670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ds.gov.mz/mr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by/3.0/ig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3.0/ig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s://seeklogo.com/images/F/fao-food-and-agriculture-organizations-logo-295B691DDB-seeklogo.com.pn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s://seeklogo.com/images/F/fao-food-and-agriculture-organizations-logo-295B691DDB-seeklogo.com.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9929E-F878-46DD-8215-E9AACB71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Operations Procedure Manual Template (v3.2)</vt:lpstr>
    </vt:vector>
  </TitlesOfParts>
  <Company>Government of Newfoundland Labrador</Company>
  <LinksUpToDate>false</LinksUpToDate>
  <CharactersWithSpaces>10350</CharactersWithSpaces>
  <SharedDoc>false</SharedDoc>
  <HLinks>
    <vt:vector size="18" baseType="variant">
      <vt:variant>
        <vt:i4>1179697</vt:i4>
      </vt:variant>
      <vt:variant>
        <vt:i4>14</vt:i4>
      </vt:variant>
      <vt:variant>
        <vt:i4>0</vt:i4>
      </vt:variant>
      <vt:variant>
        <vt:i4>5</vt:i4>
      </vt:variant>
      <vt:variant>
        <vt:lpwstr/>
      </vt:variant>
      <vt:variant>
        <vt:lpwstr>_Toc30066241</vt:lpwstr>
      </vt:variant>
      <vt:variant>
        <vt:i4>1245233</vt:i4>
      </vt:variant>
      <vt:variant>
        <vt:i4>8</vt:i4>
      </vt:variant>
      <vt:variant>
        <vt:i4>0</vt:i4>
      </vt:variant>
      <vt:variant>
        <vt:i4>5</vt:i4>
      </vt:variant>
      <vt:variant>
        <vt:lpwstr/>
      </vt:variant>
      <vt:variant>
        <vt:lpwstr>_Toc30066240</vt:lpwstr>
      </vt:variant>
      <vt:variant>
        <vt:i4>1703990</vt:i4>
      </vt:variant>
      <vt:variant>
        <vt:i4>2</vt:i4>
      </vt:variant>
      <vt:variant>
        <vt:i4>0</vt:i4>
      </vt:variant>
      <vt:variant>
        <vt:i4>5</vt:i4>
      </vt:variant>
      <vt:variant>
        <vt:lpwstr/>
      </vt:variant>
      <vt:variant>
        <vt:lpwstr>_Toc30066239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Procedure Manual Template (v3.2)</dc:title>
  <dc:subject/>
  <dc:creator>William Melay</dc:creator>
  <cp:keywords/>
  <dc:description>1.0 2008-08-26_x000d_
2.0 2008-09-05_x000d_
3.0 2008-09-11_x000d_
3.1 2008-09-11</dc:description>
  <cp:lastModifiedBy>Elitsa Peneva-Reed</cp:lastModifiedBy>
  <cp:revision>2</cp:revision>
  <cp:lastPrinted>2008-08-07T11:34:00Z</cp:lastPrinted>
  <dcterms:created xsi:type="dcterms:W3CDTF">2021-03-24T19:56:00Z</dcterms:created>
  <dcterms:modified xsi:type="dcterms:W3CDTF">2021-03-24T19:56:00Z</dcterms:modified>
</cp:coreProperties>
</file>